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711F3">
      <w:pPr>
        <w:jc w:val="left"/>
        <w:rPr>
          <w:rFonts w:hint="eastAsia" w:eastAsia="宋体" w:cs="宋体"/>
          <w:b/>
          <w:bCs/>
          <w:sz w:val="36"/>
          <w:szCs w:val="36"/>
          <w:lang w:eastAsia="zh-CN"/>
        </w:rPr>
      </w:pPr>
      <w:bookmarkStart w:id="0" w:name="_Toc417896502"/>
      <w:bookmarkStart w:id="1" w:name="_Toc416702955"/>
      <w:bookmarkStart w:id="2" w:name="_Toc417895952"/>
      <w:bookmarkStart w:id="3" w:name="_Toc416703361"/>
      <w:bookmarkStart w:id="4" w:name="_Toc417896685"/>
      <w:r>
        <w:rPr>
          <w:rFonts w:hint="eastAsia" w:cs="宋体"/>
          <w:b/>
          <w:sz w:val="32"/>
          <w:szCs w:val="36"/>
        </w:rPr>
        <w:t>项目名称：</w:t>
      </w:r>
      <w:r>
        <w:rPr>
          <w:rFonts w:hint="eastAsia" w:cs="宋体"/>
          <w:b/>
          <w:bCs/>
          <w:sz w:val="36"/>
          <w:szCs w:val="36"/>
          <w:lang w:eastAsia="zh-CN"/>
        </w:rPr>
        <w:t>电子级玻璃纤维生产线设备更新及数智化提质增效项目_配套集中供气站项目工程设计服务（第二次）</w:t>
      </w:r>
    </w:p>
    <w:p w14:paraId="0D78892C">
      <w:pPr>
        <w:jc w:val="center"/>
        <w:rPr>
          <w:rFonts w:cs="宋体"/>
        </w:rPr>
      </w:pPr>
    </w:p>
    <w:p w14:paraId="6433140E">
      <w:pPr>
        <w:jc w:val="center"/>
        <w:rPr>
          <w:rFonts w:cs="宋体"/>
        </w:rPr>
      </w:pPr>
    </w:p>
    <w:bookmarkEnd w:id="0"/>
    <w:bookmarkEnd w:id="1"/>
    <w:bookmarkEnd w:id="2"/>
    <w:bookmarkEnd w:id="3"/>
    <w:bookmarkEnd w:id="4"/>
    <w:p w14:paraId="16954A56">
      <w:pPr>
        <w:autoSpaceDE w:val="0"/>
        <w:autoSpaceDN w:val="0"/>
        <w:adjustRightInd w:val="0"/>
        <w:snapToGrid w:val="0"/>
        <w:spacing w:line="360" w:lineRule="auto"/>
        <w:rPr>
          <w:rFonts w:cs="宋体"/>
          <w:b/>
          <w:kern w:val="0"/>
          <w:sz w:val="32"/>
          <w:szCs w:val="32"/>
        </w:rPr>
      </w:pPr>
      <w:r>
        <w:rPr>
          <w:rFonts w:hint="eastAsia" w:cs="宋体"/>
          <w:b/>
          <w:kern w:val="0"/>
          <w:sz w:val="32"/>
          <w:szCs w:val="32"/>
        </w:rPr>
        <w:t>询比价编号：</w:t>
      </w:r>
    </w:p>
    <w:p w14:paraId="78517245">
      <w:pPr>
        <w:jc w:val="center"/>
        <w:rPr>
          <w:rFonts w:cs="宋体"/>
        </w:rPr>
      </w:pPr>
    </w:p>
    <w:p w14:paraId="6799C7A3">
      <w:pPr>
        <w:jc w:val="center"/>
        <w:rPr>
          <w:rFonts w:cs="宋体"/>
        </w:rPr>
      </w:pPr>
    </w:p>
    <w:p w14:paraId="118C9AC0">
      <w:pPr>
        <w:jc w:val="center"/>
        <w:rPr>
          <w:rFonts w:cs="宋体"/>
        </w:rPr>
      </w:pPr>
    </w:p>
    <w:p w14:paraId="5A1965C1">
      <w:pPr>
        <w:jc w:val="center"/>
        <w:rPr>
          <w:rFonts w:cs="宋体"/>
        </w:rPr>
      </w:pPr>
    </w:p>
    <w:p w14:paraId="1B618B2F">
      <w:pPr>
        <w:jc w:val="center"/>
        <w:rPr>
          <w:rFonts w:cs="宋体"/>
        </w:rPr>
      </w:pPr>
    </w:p>
    <w:p w14:paraId="08255D66">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1C7CC4EF">
      <w:pPr>
        <w:jc w:val="center"/>
        <w:rPr>
          <w:rFonts w:cs="宋体"/>
        </w:rPr>
      </w:pPr>
    </w:p>
    <w:p w14:paraId="799BC51C">
      <w:pPr>
        <w:jc w:val="center"/>
        <w:rPr>
          <w:rFonts w:cs="宋体"/>
        </w:rPr>
      </w:pPr>
    </w:p>
    <w:p w14:paraId="67E5BD87">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73A4D5B5">
      <w:pPr>
        <w:jc w:val="center"/>
        <w:rPr>
          <w:rFonts w:cs="宋体"/>
        </w:rPr>
      </w:pPr>
    </w:p>
    <w:p w14:paraId="15A76FA7">
      <w:pPr>
        <w:autoSpaceDE w:val="0"/>
        <w:autoSpaceDN w:val="0"/>
        <w:adjustRightInd w:val="0"/>
        <w:snapToGrid w:val="0"/>
        <w:spacing w:line="360" w:lineRule="auto"/>
        <w:jc w:val="center"/>
        <w:rPr>
          <w:rFonts w:cs="宋体"/>
          <w:b/>
          <w:bCs/>
          <w:sz w:val="36"/>
          <w:szCs w:val="36"/>
        </w:rPr>
      </w:pPr>
      <w:r>
        <w:rPr>
          <w:rFonts w:hint="eastAsia" w:cs="宋体"/>
          <w:b/>
          <w:bCs/>
          <w:sz w:val="36"/>
          <w:szCs w:val="36"/>
        </w:rPr>
        <w:t>二〇二五年七月</w:t>
      </w:r>
    </w:p>
    <w:p w14:paraId="5373068D">
      <w:pPr>
        <w:jc w:val="center"/>
        <w:rPr>
          <w:rFonts w:cs="宋体"/>
        </w:rPr>
      </w:pPr>
    </w:p>
    <w:p w14:paraId="6A3C33BE">
      <w:pPr>
        <w:tabs>
          <w:tab w:val="left" w:pos="3200"/>
          <w:tab w:val="left" w:pos="4320"/>
          <w:tab w:val="left" w:pos="5420"/>
        </w:tabs>
        <w:autoSpaceDE w:val="0"/>
        <w:autoSpaceDN w:val="0"/>
        <w:adjustRightInd w:val="0"/>
        <w:snapToGrid w:val="0"/>
        <w:spacing w:line="360" w:lineRule="auto"/>
        <w:jc w:val="center"/>
        <w:rPr>
          <w:rFonts w:cs="宋体"/>
          <w:b/>
          <w:w w:val="95"/>
          <w:kern w:val="0"/>
          <w:sz w:val="36"/>
          <w:szCs w:val="36"/>
        </w:rPr>
      </w:pPr>
      <w:r>
        <w:rPr>
          <w:rFonts w:hint="eastAsia" w:cs="宋体"/>
          <w:b/>
          <w:w w:val="95"/>
          <w:kern w:val="0"/>
          <w:sz w:val="36"/>
          <w:szCs w:val="36"/>
        </w:rPr>
        <w:t>技术</w:t>
      </w:r>
      <w:r>
        <w:rPr>
          <w:rFonts w:cs="宋体"/>
          <w:b/>
          <w:w w:val="95"/>
          <w:kern w:val="0"/>
          <w:sz w:val="36"/>
          <w:szCs w:val="36"/>
        </w:rPr>
        <w:t>及技术评分</w:t>
      </w:r>
      <w:r>
        <w:rPr>
          <w:rFonts w:hint="eastAsia" w:cs="宋体"/>
          <w:b/>
          <w:w w:val="95"/>
          <w:kern w:val="0"/>
          <w:sz w:val="36"/>
          <w:szCs w:val="36"/>
        </w:rPr>
        <w:t>编写</w:t>
      </w:r>
    </w:p>
    <w:p w14:paraId="2B151001">
      <w:pPr>
        <w:ind w:firstLine="1080" w:firstLineChars="300"/>
        <w:rPr>
          <w:rFonts w:cs="宋体"/>
          <w:sz w:val="36"/>
          <w:szCs w:val="36"/>
          <w:u w:val="single"/>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r>
        <w:rPr>
          <w:rFonts w:hint="eastAsia" w:cs="宋体"/>
          <w:sz w:val="36"/>
          <w:szCs w:val="36"/>
          <w:u w:val="single"/>
        </w:rPr>
        <w:t xml:space="preserve">     </w:t>
      </w:r>
    </w:p>
    <w:p w14:paraId="7A68EFFF">
      <w:pPr>
        <w:pStyle w:val="8"/>
        <w:tabs>
          <w:tab w:val="right" w:leader="dot" w:pos="8609"/>
        </w:tabs>
        <w:ind w:left="0" w:leftChars="0" w:firstLine="1166"/>
        <w:rPr>
          <w:rFonts w:cs="宋体"/>
          <w:bCs/>
          <w:kern w:val="0"/>
          <w:sz w:val="36"/>
          <w:szCs w:val="36"/>
        </w:rPr>
      </w:pPr>
    </w:p>
    <w:p w14:paraId="26CC10F6">
      <w:pPr>
        <w:tabs>
          <w:tab w:val="left" w:pos="3200"/>
          <w:tab w:val="left" w:pos="4320"/>
          <w:tab w:val="left" w:pos="5420"/>
        </w:tabs>
        <w:autoSpaceDE w:val="0"/>
        <w:autoSpaceDN w:val="0"/>
        <w:adjustRightInd w:val="0"/>
        <w:snapToGrid w:val="0"/>
        <w:spacing w:line="360" w:lineRule="auto"/>
        <w:jc w:val="center"/>
        <w:rPr>
          <w:rFonts w:cs="宋体"/>
          <w:b/>
          <w:w w:val="95"/>
          <w:kern w:val="0"/>
          <w:sz w:val="36"/>
          <w:szCs w:val="36"/>
        </w:rPr>
      </w:pPr>
      <w:r>
        <w:rPr>
          <w:rFonts w:hint="eastAsia" w:cs="宋体"/>
          <w:b/>
          <w:w w:val="95"/>
          <w:kern w:val="0"/>
          <w:sz w:val="36"/>
          <w:szCs w:val="36"/>
        </w:rPr>
        <w:t>商务及</w:t>
      </w:r>
      <w:r>
        <w:rPr>
          <w:rFonts w:cs="宋体"/>
          <w:b/>
          <w:w w:val="95"/>
          <w:kern w:val="0"/>
          <w:sz w:val="36"/>
          <w:szCs w:val="36"/>
        </w:rPr>
        <w:t>商务评分</w:t>
      </w:r>
      <w:r>
        <w:rPr>
          <w:rFonts w:hint="eastAsia" w:cs="宋体"/>
          <w:b/>
          <w:w w:val="95"/>
          <w:kern w:val="0"/>
          <w:sz w:val="36"/>
          <w:szCs w:val="36"/>
        </w:rPr>
        <w:t>编写</w:t>
      </w:r>
    </w:p>
    <w:p w14:paraId="7DB362A3">
      <w:pPr>
        <w:ind w:firstLine="1080" w:firstLineChars="300"/>
        <w:rPr>
          <w:rFonts w:cs="宋体"/>
          <w:sz w:val="36"/>
          <w:szCs w:val="36"/>
          <w:u w:val="single"/>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r>
        <w:rPr>
          <w:rFonts w:hint="eastAsia" w:cs="宋体"/>
          <w:sz w:val="36"/>
          <w:szCs w:val="36"/>
          <w:u w:val="single"/>
        </w:rPr>
        <w:t xml:space="preserve">     </w:t>
      </w:r>
    </w:p>
    <w:p w14:paraId="7ECF217E">
      <w:pPr>
        <w:jc w:val="center"/>
        <w:rPr>
          <w:rFonts w:cs="宋体"/>
        </w:rPr>
      </w:pPr>
    </w:p>
    <w:p w14:paraId="6B44C98B">
      <w:pPr>
        <w:jc w:val="center"/>
        <w:rPr>
          <w:rFonts w:cs="宋体"/>
        </w:rPr>
      </w:pPr>
    </w:p>
    <w:p w14:paraId="24705286">
      <w:pPr>
        <w:jc w:val="center"/>
        <w:rPr>
          <w:rFonts w:cs="宋体"/>
        </w:rPr>
      </w:pPr>
    </w:p>
    <w:p w14:paraId="041A9D19">
      <w:pPr>
        <w:jc w:val="center"/>
        <w:rPr>
          <w:rFonts w:cs="宋体"/>
        </w:rPr>
      </w:pPr>
    </w:p>
    <w:p w14:paraId="0C098753">
      <w:pPr>
        <w:jc w:val="center"/>
        <w:rPr>
          <w:rFonts w:cs="宋体"/>
        </w:rPr>
      </w:pPr>
    </w:p>
    <w:p w14:paraId="64993A51">
      <w:pPr>
        <w:jc w:val="center"/>
        <w:rPr>
          <w:rFonts w:hint="eastAsia" w:ascii="宋体" w:hAnsi="宋体"/>
          <w:b/>
          <w:bCs/>
          <w:sz w:val="40"/>
          <w:szCs w:val="40"/>
        </w:rPr>
      </w:pPr>
      <w:r>
        <w:rPr>
          <w:rFonts w:hint="eastAsia" w:ascii="宋体" w:hAnsi="宋体"/>
          <w:b/>
          <w:bCs/>
          <w:sz w:val="40"/>
          <w:szCs w:val="40"/>
        </w:rPr>
        <w:t>询比价文件</w:t>
      </w:r>
    </w:p>
    <w:p w14:paraId="655F13FC">
      <w:pPr>
        <w:spacing w:line="360" w:lineRule="auto"/>
        <w:ind w:firstLine="426"/>
        <w:rPr>
          <w:rFonts w:hint="eastAsia" w:ascii="宋体" w:hAnsi="宋体"/>
          <w:sz w:val="24"/>
        </w:rPr>
      </w:pPr>
      <w:r>
        <w:rPr>
          <w:rFonts w:hint="eastAsia" w:ascii="宋体" w:hAnsi="宋体"/>
          <w:sz w:val="24"/>
        </w:rPr>
        <w:t>重庆国际复合材料股份有限公司就</w:t>
      </w:r>
      <w:r>
        <w:rPr>
          <w:rFonts w:hint="eastAsia" w:ascii="宋体" w:hAnsi="宋体"/>
          <w:sz w:val="24"/>
          <w:u w:val="single"/>
        </w:rPr>
        <w:t>　</w:t>
      </w:r>
      <w:r>
        <w:rPr>
          <w:rFonts w:hint="eastAsia" w:ascii="宋体" w:hAnsi="宋体"/>
          <w:sz w:val="24"/>
          <w:u w:val="single"/>
          <w:lang w:eastAsia="zh-CN"/>
        </w:rPr>
        <w:t>电子级玻璃纤维生产线设备更新及数智化提质增效项目_配套集中供气站项目工程设计服务（第二次）</w:t>
      </w:r>
      <w:r>
        <w:rPr>
          <w:rFonts w:hint="eastAsia" w:ascii="宋体" w:hAnsi="宋体"/>
          <w:sz w:val="24"/>
          <w:u w:val="single"/>
        </w:rPr>
        <w:t>　</w:t>
      </w:r>
      <w:r>
        <w:rPr>
          <w:rFonts w:hint="eastAsia" w:ascii="宋体" w:hAnsi="宋体"/>
          <w:sz w:val="24"/>
        </w:rPr>
        <w:t>进行国内外询比价，邀请潜在供应商进行报价。</w:t>
      </w:r>
    </w:p>
    <w:p w14:paraId="0B8E8D3B">
      <w:pPr>
        <w:numPr>
          <w:ilvl w:val="0"/>
          <w:numId w:val="1"/>
        </w:numPr>
        <w:spacing w:line="360" w:lineRule="auto"/>
        <w:rPr>
          <w:rFonts w:hint="eastAsia" w:ascii="宋体" w:hAnsi="宋体"/>
          <w:sz w:val="24"/>
        </w:rPr>
      </w:pPr>
      <w:r>
        <w:rPr>
          <w:rFonts w:hint="eastAsia" w:ascii="宋体" w:hAnsi="宋体"/>
          <w:sz w:val="24"/>
        </w:rPr>
        <w:t>询比价项目编号：</w:t>
      </w:r>
      <w:r>
        <w:rPr>
          <w:rFonts w:hint="eastAsia" w:ascii="宋体" w:hAnsi="宋体"/>
          <w:sz w:val="24"/>
          <w:u w:val="single"/>
          <w:lang w:val="en-US" w:eastAsia="zh-CN"/>
        </w:rPr>
        <w:t>CPIC-GCXMCG-2025-034</w:t>
      </w:r>
    </w:p>
    <w:p w14:paraId="76CCCC60">
      <w:pPr>
        <w:numPr>
          <w:ilvl w:val="0"/>
          <w:numId w:val="1"/>
        </w:numPr>
        <w:spacing w:line="360" w:lineRule="auto"/>
        <w:rPr>
          <w:rFonts w:hint="eastAsia" w:ascii="宋体" w:hAnsi="宋体"/>
          <w:sz w:val="24"/>
        </w:rPr>
      </w:pPr>
      <w:r>
        <w:rPr>
          <w:rFonts w:hint="eastAsia" w:ascii="宋体" w:hAnsi="宋体"/>
          <w:sz w:val="24"/>
        </w:rPr>
        <w:t>项目名称：</w:t>
      </w:r>
      <w:r>
        <w:rPr>
          <w:rFonts w:hint="eastAsia" w:ascii="宋体" w:hAnsi="宋体"/>
          <w:sz w:val="24"/>
          <w:u w:val="single"/>
        </w:rPr>
        <w:t xml:space="preserve">  电子级玻璃纤维生产线设备更新及数智化提质增效项目_配套集中供气站项目  </w:t>
      </w:r>
    </w:p>
    <w:p w14:paraId="29C964B4">
      <w:pPr>
        <w:numPr>
          <w:ilvl w:val="0"/>
          <w:numId w:val="1"/>
        </w:numPr>
        <w:spacing w:line="360" w:lineRule="auto"/>
        <w:rPr>
          <w:rFonts w:hint="eastAsia" w:ascii="宋体" w:hAnsi="宋体"/>
          <w:sz w:val="24"/>
        </w:rPr>
      </w:pPr>
      <w:r>
        <w:rPr>
          <w:rFonts w:hint="eastAsia" w:ascii="宋体" w:hAnsi="宋体"/>
          <w:sz w:val="24"/>
        </w:rPr>
        <w:t>询比价内容：</w:t>
      </w:r>
    </w:p>
    <w:p w14:paraId="2E292189">
      <w:pPr>
        <w:pStyle w:val="18"/>
        <w:numPr>
          <w:ilvl w:val="0"/>
          <w:numId w:val="2"/>
        </w:numPr>
        <w:spacing w:line="360" w:lineRule="auto"/>
        <w:ind w:firstLineChars="0"/>
        <w:rPr>
          <w:rFonts w:hint="eastAsia" w:ascii="宋体" w:hAnsi="宋体"/>
          <w:sz w:val="24"/>
        </w:rPr>
      </w:pPr>
      <w:r>
        <w:rPr>
          <w:rFonts w:hint="eastAsia" w:ascii="宋体" w:hAnsi="宋体"/>
          <w:sz w:val="24"/>
        </w:rPr>
        <w:t>项目概况：</w:t>
      </w:r>
    </w:p>
    <w:p w14:paraId="2F1990E6">
      <w:pPr>
        <w:pStyle w:val="18"/>
        <w:spacing w:line="360" w:lineRule="auto"/>
        <w:ind w:firstLine="424" w:firstLineChars="177"/>
        <w:rPr>
          <w:rFonts w:hint="eastAsia" w:ascii="宋体" w:hAnsi="宋体"/>
          <w:sz w:val="24"/>
        </w:rPr>
      </w:pPr>
      <w:r>
        <w:rPr>
          <w:rFonts w:hint="eastAsia" w:ascii="宋体" w:hAnsi="宋体"/>
          <w:sz w:val="24"/>
        </w:rPr>
        <w:t>重庆国际复合材料股份有限公司长寿生产基地为电子级玻璃纤维生产线设备更新及数智化提质增效项目配套建设一座压缩空气集中供气站。项目建筑面积约1800平方米，建设投资约2900万元，其中建筑安装工程约650万元。</w:t>
      </w:r>
    </w:p>
    <w:p w14:paraId="2E041B56">
      <w:pPr>
        <w:pStyle w:val="18"/>
        <w:spacing w:line="360" w:lineRule="auto"/>
        <w:ind w:firstLine="424" w:firstLineChars="177"/>
        <w:rPr>
          <w:rFonts w:hint="eastAsia" w:ascii="宋体" w:hAnsi="宋体"/>
          <w:sz w:val="24"/>
        </w:rPr>
      </w:pPr>
      <w:r>
        <w:rPr>
          <w:rFonts w:hint="eastAsia" w:ascii="宋体" w:hAnsi="宋体"/>
          <w:sz w:val="24"/>
        </w:rPr>
        <w:t>一期建设设计供气能力为635m³/min，其中1台270m³/min常用、1台220m³/min备用、1台35m³/min变频无油螺杆式空压机进行负荷调整、2台5m³/min一体化制气设备为仪表气源保安、2台50m3/min磁悬浮离心式空压机高压供气。二期建设设计供气能力为560 m³/min为LDK超细纱及布厂配套使用。并预留2台≥280 m³/min的离心式空压机位置（或其中1台为热回收制冷机）。</w:t>
      </w:r>
    </w:p>
    <w:p w14:paraId="25387982">
      <w:pPr>
        <w:pStyle w:val="18"/>
        <w:spacing w:line="360" w:lineRule="auto"/>
        <w:ind w:firstLine="424" w:firstLineChars="177"/>
        <w:rPr>
          <w:rFonts w:hint="eastAsia" w:ascii="宋体" w:hAnsi="宋体"/>
          <w:sz w:val="24"/>
        </w:rPr>
      </w:pPr>
      <w:r>
        <w:rPr>
          <w:rFonts w:hint="eastAsia" w:ascii="宋体" w:hAnsi="宋体"/>
          <w:sz w:val="24"/>
        </w:rPr>
        <w:t>按照现行设计规范及招标人的要求，电子级玻璃纤维生产线设备更新及数智化提质增效项目_配套集中供气站项目建筑安装工程设计：包括方案设计、海绵城市设计、建筑安装工程施工图设计等。满足招标人各项功能性要求，设计应达到国内领先水准。须按发包人设计要求、进度控制要求按质按时提交设计成果，并取得国家相关职能部门的批准（含中间成果和阶段性成果），以及协助招标人完成各项审批手续办理等工作。</w:t>
      </w:r>
    </w:p>
    <w:p w14:paraId="029A486C">
      <w:pPr>
        <w:pStyle w:val="18"/>
        <w:numPr>
          <w:ilvl w:val="0"/>
          <w:numId w:val="2"/>
        </w:numPr>
        <w:spacing w:line="360" w:lineRule="auto"/>
        <w:ind w:firstLineChars="0"/>
        <w:rPr>
          <w:rFonts w:hint="eastAsia" w:ascii="宋体" w:hAnsi="宋体"/>
          <w:sz w:val="24"/>
        </w:rPr>
      </w:pPr>
      <w:r>
        <w:rPr>
          <w:rFonts w:hint="eastAsia" w:ascii="宋体" w:hAnsi="宋体"/>
          <w:sz w:val="24"/>
        </w:rPr>
        <w:t>提供服务：</w:t>
      </w:r>
      <w:r>
        <w:rPr>
          <w:rFonts w:hint="eastAsia" w:ascii="宋体" w:hAnsi="宋体"/>
          <w:sz w:val="24"/>
          <w:u w:val="single"/>
        </w:rPr>
        <w:t xml:space="preserve">  工程设计服务   </w:t>
      </w:r>
    </w:p>
    <w:p w14:paraId="73D902B1">
      <w:pPr>
        <w:spacing w:line="360" w:lineRule="auto"/>
        <w:rPr>
          <w:rFonts w:hint="eastAsia" w:ascii="宋体" w:hAnsi="宋体"/>
          <w:b/>
          <w:bCs/>
          <w:sz w:val="24"/>
        </w:rPr>
      </w:pPr>
      <w:r>
        <w:rPr>
          <w:rFonts w:hint="eastAsia" w:ascii="宋体" w:hAnsi="宋体"/>
          <w:b/>
          <w:bCs/>
          <w:sz w:val="24"/>
        </w:rPr>
        <w:t>2.1设计内容（包括但不限于以下内容）：</w:t>
      </w:r>
    </w:p>
    <w:p w14:paraId="5AF46CE3">
      <w:pPr>
        <w:pStyle w:val="18"/>
        <w:spacing w:line="360" w:lineRule="auto"/>
        <w:ind w:firstLine="0" w:firstLineChars="0"/>
        <w:rPr>
          <w:rFonts w:hint="eastAsia" w:ascii="宋体" w:hAnsi="宋体"/>
          <w:sz w:val="24"/>
        </w:rPr>
      </w:pPr>
      <w:r>
        <w:rPr>
          <w:rFonts w:hint="eastAsia" w:ascii="宋体" w:hAnsi="宋体"/>
          <w:sz w:val="24"/>
        </w:rPr>
        <w:t>2.1.1方案设计（满足报规要求）。</w:t>
      </w:r>
    </w:p>
    <w:p w14:paraId="6E02270A">
      <w:pPr>
        <w:pStyle w:val="18"/>
        <w:spacing w:line="360" w:lineRule="auto"/>
        <w:ind w:firstLine="0" w:firstLineChars="0"/>
        <w:rPr>
          <w:rFonts w:hint="eastAsia" w:ascii="宋体" w:hAnsi="宋体"/>
          <w:sz w:val="24"/>
        </w:rPr>
      </w:pPr>
      <w:r>
        <w:rPr>
          <w:rFonts w:hint="eastAsia" w:ascii="宋体" w:hAnsi="宋体"/>
          <w:sz w:val="24"/>
        </w:rPr>
        <w:t>2.1.2海绵城市设计。</w:t>
      </w:r>
    </w:p>
    <w:p w14:paraId="7D71F761">
      <w:pPr>
        <w:pStyle w:val="18"/>
        <w:spacing w:line="360" w:lineRule="auto"/>
        <w:ind w:firstLine="0" w:firstLineChars="0"/>
        <w:rPr>
          <w:rFonts w:hint="eastAsia" w:ascii="宋体" w:hAnsi="宋体"/>
          <w:sz w:val="24"/>
        </w:rPr>
      </w:pPr>
      <w:r>
        <w:rPr>
          <w:rFonts w:hint="eastAsia" w:ascii="宋体" w:hAnsi="宋体"/>
          <w:sz w:val="24"/>
        </w:rPr>
        <w:t>2.1.3建筑安装工程施工图设计。</w:t>
      </w:r>
    </w:p>
    <w:p w14:paraId="27830DEB">
      <w:pPr>
        <w:pStyle w:val="18"/>
        <w:spacing w:line="360" w:lineRule="auto"/>
        <w:ind w:firstLine="0" w:firstLineChars="0"/>
        <w:rPr>
          <w:rFonts w:hint="eastAsia" w:ascii="宋体" w:hAnsi="宋体"/>
          <w:sz w:val="24"/>
        </w:rPr>
      </w:pPr>
      <w:r>
        <w:rPr>
          <w:rFonts w:hint="eastAsia" w:ascii="宋体" w:hAnsi="宋体"/>
          <w:sz w:val="24"/>
        </w:rPr>
        <w:t>2.1.4要求使用E3D、EP3D、PDSOFT、PDMS等三维软件进行管道设计并导出管段施工图。</w:t>
      </w:r>
    </w:p>
    <w:p w14:paraId="63A09E05">
      <w:pPr>
        <w:pStyle w:val="18"/>
        <w:spacing w:line="360" w:lineRule="auto"/>
        <w:ind w:firstLine="424" w:firstLineChars="177"/>
        <w:rPr>
          <w:rFonts w:hint="eastAsia" w:ascii="宋体" w:hAnsi="宋体"/>
          <w:sz w:val="24"/>
        </w:rPr>
      </w:pPr>
      <w:r>
        <w:rPr>
          <w:rFonts w:hint="eastAsia" w:ascii="宋体" w:hAnsi="宋体"/>
          <w:sz w:val="24"/>
        </w:rPr>
        <w:t>附图：见附件、仅供参考。</w:t>
      </w:r>
    </w:p>
    <w:p w14:paraId="1D87FC8E">
      <w:pPr>
        <w:spacing w:line="360" w:lineRule="auto"/>
        <w:rPr>
          <w:rFonts w:hint="eastAsia" w:ascii="宋体" w:hAnsi="宋体"/>
          <w:b/>
          <w:bCs/>
          <w:sz w:val="24"/>
        </w:rPr>
      </w:pPr>
      <w:r>
        <w:rPr>
          <w:rFonts w:hint="eastAsia" w:ascii="宋体" w:hAnsi="宋体"/>
          <w:b/>
          <w:bCs/>
          <w:sz w:val="24"/>
        </w:rPr>
        <w:t>2.2其他要求：</w:t>
      </w:r>
    </w:p>
    <w:p w14:paraId="04F0A5B6">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在设备未招标完成前按照业主提供的设备资料进行设计，设备招标完成后按照设备供应商提供的资料进行修改或调整施工图。</w:t>
      </w:r>
    </w:p>
    <w:p w14:paraId="1F11ED98">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配合业主与园区沟通的相关事项（如有）。</w:t>
      </w:r>
    </w:p>
    <w:p w14:paraId="0DD495B9">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施工过程至项目竣工验收全过程的相关服务（含设计交底、设计变更、现场服务、招标阶段的咨询服务等）</w:t>
      </w:r>
    </w:p>
    <w:p w14:paraId="700218AD">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负责在经相关行政管理部门审核批准的规划方案基础上完成施工图设计、实施期间的设计变更、各阶段根据相关行政管理部门的审核意见进行改图、竣工图绘制及施工过程至项目竣工验收全过程的相关服务等所有工作，以达到规定的设计深度和质量要求。</w:t>
      </w:r>
    </w:p>
    <w:p w14:paraId="1B79A38E">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施工过程至项目竣工验收全过程的相关服务（含设计交底、设计变更、现场服务、招标阶段的咨询服务等）。</w:t>
      </w:r>
    </w:p>
    <w:p w14:paraId="1EE54546">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项目设计及实施过程中的所有设计变更（除重大项目变更、重大设计方案变更外）不再收取任何费用。</w:t>
      </w:r>
    </w:p>
    <w:p w14:paraId="0773A92A">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设计任务进行期间，相关专业设计人员应根据发包人要求进驻现场进行设计，如未履行则按每人每天扣除5000元违约金，违约金总额不超过合同总价10%，如累计超过30天.人，发包人有权解除合同；工程施工期间，设计人应根据发包人要求，指派相关专业设计人员进驻现场，如未履行则按每人每天扣除5000元违约金，违约金总额不超过合同总价10%，如累计超过30天.人，发包人有权解除合同。并根据施工实际情况随时协调、解决设计相关问题。</w:t>
      </w:r>
    </w:p>
    <w:p w14:paraId="3B8C1056">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由于设计人原因，延误了设计文件交付时间，每延误一天，设计人应按本合同约定的设计费总额的千分之二向发包人支付违约金（该违约金可在剩余设计费中扣划）。本合同规定的任何一个环节的设计资料及设计文件的交付时间延误达到15天的，发包人有权解除合同，且设计人收取的设计费应返还，并要求设计人进行赔偿（赔偿金额以双方协商为准，其中赔偿最大金额不超过合同金额）。</w:t>
      </w:r>
    </w:p>
    <w:p w14:paraId="26DFC610">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设计人对设计资料及文件出现的遗漏或错误负责修改或补充，并按照500元/项扣除设计费，累计计算。</w:t>
      </w:r>
    </w:p>
    <w:p w14:paraId="40A45924">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设计人应按照招标人的《设计变更审批制度》中时效性要求提交设计变更资料，每延迟一天按照500元/项.天扣除设计费，累计计算。</w:t>
      </w:r>
    </w:p>
    <w:p w14:paraId="1D4179CF">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由于设计人员错误造成工程质量事故损失，设计人除负责采取补救措施外，免收直接受损失部分的设计费。损失严重的根据损失的程度和设计人责任大小向发包人支付赔偿金，赔偿金由双方商定为实际损失的100%，所有违约金和赔偿金总和最高以本合同设计总费用为限。</w:t>
      </w:r>
    </w:p>
    <w:p w14:paraId="04E17EDE">
      <w:pPr>
        <w:pStyle w:val="18"/>
        <w:numPr>
          <w:ilvl w:val="0"/>
          <w:numId w:val="3"/>
        </w:numPr>
        <w:spacing w:line="360" w:lineRule="auto"/>
        <w:ind w:left="-11" w:firstLine="0" w:firstLineChars="0"/>
        <w:rPr>
          <w:rFonts w:hint="eastAsia" w:ascii="宋体" w:hAnsi="宋体"/>
          <w:sz w:val="24"/>
        </w:rPr>
      </w:pPr>
      <w:r>
        <w:rPr>
          <w:rFonts w:hint="eastAsia" w:ascii="宋体" w:hAnsi="宋体"/>
          <w:sz w:val="24"/>
        </w:rPr>
        <w:t>设计人应按照招标人经济性要求进行多方案比较，提交最具经济性的设计资料。设计成果图交付后，招标人可以进行第三方经济性评估，若审减5%以上，则扣除审减部分的对应设计费。</w:t>
      </w:r>
    </w:p>
    <w:p w14:paraId="7F675722">
      <w:pPr>
        <w:pStyle w:val="18"/>
        <w:numPr>
          <w:ilvl w:val="0"/>
          <w:numId w:val="2"/>
        </w:numPr>
        <w:spacing w:line="360" w:lineRule="auto"/>
        <w:ind w:left="0" w:firstLine="0" w:firstLineChars="0"/>
        <w:rPr>
          <w:rFonts w:hint="eastAsia" w:ascii="宋体" w:hAnsi="宋体"/>
          <w:sz w:val="24"/>
        </w:rPr>
      </w:pPr>
      <w:r>
        <w:rPr>
          <w:rFonts w:hint="eastAsia" w:ascii="宋体" w:hAnsi="宋体"/>
          <w:sz w:val="24"/>
        </w:rPr>
        <w:t>设计工期：</w:t>
      </w:r>
      <w:r>
        <w:rPr>
          <w:rFonts w:hint="eastAsia" w:ascii="宋体" w:hAnsi="宋体"/>
          <w:sz w:val="24"/>
          <w:u w:val="single"/>
        </w:rPr>
        <w:t>合同签订后10天完成方案设计、海绵城市设计达到报规要求，20天完成审查合格正式施工图。</w:t>
      </w:r>
    </w:p>
    <w:p w14:paraId="3A86C2B1">
      <w:pPr>
        <w:pStyle w:val="18"/>
        <w:numPr>
          <w:ilvl w:val="0"/>
          <w:numId w:val="2"/>
        </w:numPr>
        <w:spacing w:line="360" w:lineRule="auto"/>
        <w:ind w:firstLineChars="0"/>
        <w:rPr>
          <w:rFonts w:hint="eastAsia" w:ascii="宋体" w:hAnsi="宋体"/>
          <w:sz w:val="24"/>
        </w:rPr>
      </w:pPr>
      <w:r>
        <w:rPr>
          <w:rFonts w:hint="eastAsia" w:ascii="宋体" w:hAnsi="宋体"/>
          <w:sz w:val="24"/>
        </w:rPr>
        <w:t>服务地点：重庆国际复合材料股份有限公司长寿生产基地。</w:t>
      </w:r>
    </w:p>
    <w:p w14:paraId="5EE7C635">
      <w:pPr>
        <w:numPr>
          <w:ilvl w:val="0"/>
          <w:numId w:val="4"/>
        </w:numPr>
        <w:spacing w:line="360" w:lineRule="auto"/>
        <w:rPr>
          <w:rFonts w:hint="eastAsia" w:ascii="宋体" w:hAnsi="宋体"/>
          <w:sz w:val="24"/>
        </w:rPr>
      </w:pPr>
      <w:r>
        <w:rPr>
          <w:rFonts w:hint="eastAsia" w:ascii="宋体" w:hAnsi="宋体"/>
          <w:sz w:val="24"/>
        </w:rPr>
        <w:t>报价人资格</w:t>
      </w:r>
    </w:p>
    <w:p w14:paraId="7CABCB26">
      <w:pPr>
        <w:spacing w:line="360" w:lineRule="auto"/>
        <w:ind w:firstLine="480" w:firstLineChars="200"/>
        <w:rPr>
          <w:rFonts w:hint="eastAsia" w:ascii="宋体" w:hAnsi="宋体"/>
          <w:sz w:val="24"/>
        </w:rPr>
      </w:pPr>
      <w:r>
        <w:rPr>
          <w:rFonts w:hint="eastAsia" w:ascii="宋体" w:hAnsi="宋体"/>
          <w:sz w:val="24"/>
        </w:rPr>
        <w:t>本次询比价实行资格后审，报价人应满足下列资格条件:</w:t>
      </w:r>
    </w:p>
    <w:p w14:paraId="659D6039">
      <w:pPr>
        <w:numPr>
          <w:ilvl w:val="0"/>
          <w:numId w:val="5"/>
        </w:numPr>
        <w:spacing w:line="360" w:lineRule="auto"/>
        <w:rPr>
          <w:rFonts w:hint="eastAsia" w:ascii="宋体" w:hAnsi="宋体"/>
          <w:sz w:val="24"/>
        </w:rPr>
      </w:pPr>
      <w:r>
        <w:rPr>
          <w:rFonts w:hint="eastAsia" w:ascii="宋体" w:hAnsi="宋体"/>
          <w:sz w:val="24"/>
        </w:rPr>
        <w:t>具有独立法人资格，需提供企业营业执照或事业单位法人证书。营业执照经营范围涵盖与询比价内容相关的的营业范围。</w:t>
      </w:r>
    </w:p>
    <w:p w14:paraId="23143C06">
      <w:pPr>
        <w:numPr>
          <w:ilvl w:val="0"/>
          <w:numId w:val="5"/>
        </w:numPr>
        <w:spacing w:line="360" w:lineRule="auto"/>
        <w:rPr>
          <w:rFonts w:hint="eastAsia" w:ascii="宋体" w:hAnsi="宋体"/>
          <w:sz w:val="24"/>
        </w:rPr>
      </w:pPr>
      <w:r>
        <w:rPr>
          <w:rFonts w:hint="eastAsia" w:ascii="宋体" w:hAnsi="宋体"/>
          <w:sz w:val="24"/>
        </w:rPr>
        <w:t>报价人须具备建设行政主管部门颁发的建筑行业（建筑工程）设计乙级资质或建筑行业设计乙级资质或建材行业设计乙级资质或工程设计综合甲级资质。且同时具备中华人民共和国特种设备生产许可证工业管道（GC2）及以上设计资质。</w:t>
      </w:r>
    </w:p>
    <w:p w14:paraId="79650B79">
      <w:pPr>
        <w:numPr>
          <w:ilvl w:val="0"/>
          <w:numId w:val="5"/>
        </w:numPr>
        <w:spacing w:line="360" w:lineRule="auto"/>
        <w:rPr>
          <w:rFonts w:hint="eastAsia" w:ascii="宋体" w:hAnsi="宋体"/>
          <w:sz w:val="24"/>
        </w:rPr>
      </w:pPr>
      <w:r>
        <w:rPr>
          <w:rFonts w:hint="eastAsia" w:ascii="宋体" w:hAnsi="宋体"/>
          <w:sz w:val="24"/>
        </w:rPr>
        <w:t>近五年（2020年5月至报价文件递交截止之日，以合同签订时间为准）至少承担过1个单项合同金额15万元（或投资金额2000万元）及以上的动力站房（包括压缩空气站或制冷站或热力站等）类似设计业绩（提供合同复印件，加盖供应商公章）。若合同中不能体现，可提供业主证明，并加盖供应商及业主公章。</w:t>
      </w:r>
    </w:p>
    <w:p w14:paraId="1AB03D1D">
      <w:pPr>
        <w:numPr>
          <w:ilvl w:val="0"/>
          <w:numId w:val="5"/>
        </w:numPr>
        <w:spacing w:line="360" w:lineRule="auto"/>
        <w:rPr>
          <w:rFonts w:hint="eastAsia" w:ascii="宋体" w:hAnsi="宋体"/>
          <w:sz w:val="24"/>
        </w:rPr>
      </w:pPr>
      <w:r>
        <w:rPr>
          <w:rFonts w:hint="eastAsia" w:ascii="宋体" w:hAnsi="宋体"/>
          <w:sz w:val="24"/>
        </w:rPr>
        <w:t>项目负责人：必须已在投标人本单位注册并应具有国家一级注册建筑工程师执业资格，具备高级及以上工程类职称，提供项目负责人执业资格证及缴纳的最近3个月社保证明复印件并加盖申请人单位公章。</w:t>
      </w:r>
    </w:p>
    <w:p w14:paraId="76253CE0">
      <w:pPr>
        <w:numPr>
          <w:ilvl w:val="0"/>
          <w:numId w:val="5"/>
        </w:numPr>
        <w:spacing w:line="360" w:lineRule="auto"/>
        <w:rPr>
          <w:rFonts w:hint="eastAsia" w:ascii="宋体" w:hAnsi="宋体"/>
          <w:sz w:val="24"/>
        </w:rPr>
      </w:pPr>
      <w:r>
        <w:rPr>
          <w:rFonts w:hint="eastAsia" w:ascii="宋体" w:hAnsi="宋体"/>
          <w:sz w:val="24"/>
        </w:rPr>
        <w:t>信誉要求：未被有关行政部门暂停投标资格，或被有关行政部门暂停投标资格期限未满，不得在近两年内申请人或其法定代表人有行贿犯罪行为和不得在国家企业信用信息公示系统“http://www.gsxt.gov.cn/index.html”列入严重违法企业失信名单，需提供网上截图、并承诺无以上情形之一。</w:t>
      </w:r>
    </w:p>
    <w:p w14:paraId="0D9D5830">
      <w:pPr>
        <w:spacing w:line="360" w:lineRule="auto"/>
        <w:rPr>
          <w:rFonts w:hint="eastAsia" w:ascii="宋体" w:hAnsi="宋体"/>
          <w:sz w:val="24"/>
        </w:rPr>
      </w:pPr>
      <w:r>
        <w:rPr>
          <w:rFonts w:hint="eastAsia" w:ascii="宋体" w:hAnsi="宋体"/>
          <w:sz w:val="24"/>
        </w:rPr>
        <w:t>五、报价文件要求：</w:t>
      </w:r>
    </w:p>
    <w:p w14:paraId="684CD1D2">
      <w:pPr>
        <w:numPr>
          <w:ilvl w:val="0"/>
          <w:numId w:val="6"/>
        </w:numPr>
        <w:spacing w:line="360" w:lineRule="auto"/>
        <w:rPr>
          <w:rFonts w:hint="eastAsia" w:ascii="宋体" w:hAnsi="宋体"/>
          <w:sz w:val="24"/>
        </w:rPr>
      </w:pPr>
      <w:r>
        <w:rPr>
          <w:rFonts w:hint="eastAsia" w:ascii="宋体" w:hAnsi="宋体"/>
          <w:sz w:val="24"/>
        </w:rPr>
        <w:t>报价文件加盖公章，除法定代表人和委托代理人签字外，其余手填无效。</w:t>
      </w:r>
    </w:p>
    <w:p w14:paraId="661A61D1">
      <w:pPr>
        <w:numPr>
          <w:ilvl w:val="0"/>
          <w:numId w:val="6"/>
        </w:numPr>
        <w:spacing w:line="360" w:lineRule="auto"/>
        <w:rPr>
          <w:rFonts w:hint="eastAsia" w:ascii="宋体" w:hAnsi="宋体"/>
          <w:sz w:val="24"/>
        </w:rPr>
      </w:pPr>
      <w:r>
        <w:rPr>
          <w:rFonts w:hint="eastAsia" w:ascii="宋体" w:hAnsi="宋体"/>
          <w:sz w:val="24"/>
        </w:rPr>
        <w:t>报价文件应密封，封皮注明询比价项目、报价单位及报价日期并加盖公章。</w:t>
      </w:r>
    </w:p>
    <w:p w14:paraId="1D278AC9">
      <w:pPr>
        <w:numPr>
          <w:ilvl w:val="0"/>
          <w:numId w:val="6"/>
        </w:numPr>
        <w:spacing w:line="360" w:lineRule="auto"/>
        <w:rPr>
          <w:rFonts w:hint="eastAsia" w:ascii="宋体" w:hAnsi="宋体"/>
          <w:sz w:val="24"/>
        </w:rPr>
      </w:pPr>
      <w:r>
        <w:rPr>
          <w:rFonts w:hint="eastAsia" w:ascii="宋体" w:hAnsi="宋体"/>
          <w:sz w:val="24"/>
        </w:rPr>
        <w:t>有效期：报价文件及有关承诺文件有效期为报价文件投递截止之日起90天。</w:t>
      </w:r>
    </w:p>
    <w:p w14:paraId="1103FE2A">
      <w:pPr>
        <w:numPr>
          <w:ilvl w:val="0"/>
          <w:numId w:val="6"/>
        </w:numPr>
        <w:spacing w:line="360" w:lineRule="auto"/>
        <w:rPr>
          <w:rFonts w:hint="eastAsia" w:ascii="宋体" w:hAnsi="宋体"/>
          <w:sz w:val="24"/>
        </w:rPr>
      </w:pPr>
      <w:r>
        <w:rPr>
          <w:rFonts w:hint="eastAsia" w:ascii="宋体" w:hAnsi="宋体"/>
          <w:sz w:val="24"/>
        </w:rPr>
        <w:t>报价人提交的报价文件由报价、资格审查资料和报价人所作的一切有效补充、修改和承诺书等文件组成。</w:t>
      </w:r>
    </w:p>
    <w:p w14:paraId="613A4D20">
      <w:pPr>
        <w:spacing w:line="360" w:lineRule="auto"/>
        <w:rPr>
          <w:rFonts w:hint="eastAsia" w:ascii="宋体" w:hAnsi="宋体"/>
          <w:sz w:val="24"/>
        </w:rPr>
      </w:pPr>
      <w:r>
        <w:rPr>
          <w:rFonts w:hint="eastAsia" w:ascii="宋体" w:hAnsi="宋体"/>
          <w:sz w:val="24"/>
        </w:rPr>
        <w:t>六、报价要求：</w:t>
      </w:r>
    </w:p>
    <w:p w14:paraId="6465A43C">
      <w:pPr>
        <w:numPr>
          <w:ilvl w:val="0"/>
          <w:numId w:val="7"/>
        </w:numPr>
        <w:spacing w:line="360" w:lineRule="auto"/>
        <w:rPr>
          <w:rFonts w:hint="eastAsia" w:ascii="宋体" w:hAnsi="宋体"/>
          <w:sz w:val="24"/>
        </w:rPr>
      </w:pPr>
      <w:r>
        <w:rPr>
          <w:rFonts w:hint="eastAsia" w:ascii="宋体" w:hAnsi="宋体"/>
          <w:sz w:val="24"/>
        </w:rPr>
        <w:t>该项目设置最高限价：</w:t>
      </w:r>
      <w:r>
        <w:rPr>
          <w:rFonts w:hint="eastAsia" w:ascii="宋体" w:hAnsi="宋体"/>
          <w:b/>
          <w:bCs/>
          <w:sz w:val="24"/>
        </w:rPr>
        <w:t>人民币23.58万元</w:t>
      </w:r>
      <w:r>
        <w:rPr>
          <w:rFonts w:hint="eastAsia" w:ascii="宋体" w:hAnsi="宋体"/>
          <w:sz w:val="24"/>
        </w:rPr>
        <w:t>，所有单位报价不得超过最高限价，该最高限价的范围包括完成合同全部义务应承担的一切成本，包括但不限于招标范围内的所有工程设计所需的全部费用；配合招标人进行方案设计、海绵城市设计评审；配合施工图审查、提供设计技术交底、解决施工中的设计技术问题、参加竣工验收、建设档案归档、维修等设计服务人员的工资、劳保、医疗、福利、津贴、保险、差旅费、评审费、调查费、咨询费、</w:t>
      </w:r>
      <w:r>
        <w:rPr>
          <w:rFonts w:hint="eastAsia" w:ascii="宋体" w:hAnsi="宋体"/>
          <w:b/>
          <w:bCs/>
          <w:sz w:val="24"/>
        </w:rPr>
        <w:t>专家费</w:t>
      </w:r>
      <w:r>
        <w:rPr>
          <w:rFonts w:hint="eastAsia" w:ascii="宋体" w:hAnsi="宋体"/>
          <w:sz w:val="24"/>
        </w:rPr>
        <w:t>、审查费（不含施工图审查费）、设计单位的管理费、税金、利润等所有费用。</w:t>
      </w:r>
    </w:p>
    <w:p w14:paraId="588F4DD8">
      <w:pPr>
        <w:numPr>
          <w:ilvl w:val="0"/>
          <w:numId w:val="7"/>
        </w:numPr>
        <w:spacing w:line="360" w:lineRule="auto"/>
        <w:rPr>
          <w:rFonts w:hint="eastAsia" w:ascii="宋体" w:hAnsi="宋体"/>
          <w:sz w:val="24"/>
        </w:rPr>
      </w:pPr>
      <w:r>
        <w:rPr>
          <w:rFonts w:hint="eastAsia" w:ascii="宋体" w:hAnsi="宋体"/>
          <w:sz w:val="24"/>
        </w:rPr>
        <w:t>报价货币为人民币(RMB)，报价为一次性报价且为最终报价，所有报价均含6%增值税。</w:t>
      </w:r>
    </w:p>
    <w:p w14:paraId="2A5A89FC">
      <w:pPr>
        <w:spacing w:line="360" w:lineRule="auto"/>
        <w:rPr>
          <w:rFonts w:hint="eastAsia" w:ascii="宋体" w:hAnsi="宋体"/>
          <w:sz w:val="24"/>
        </w:rPr>
      </w:pPr>
      <w:r>
        <w:rPr>
          <w:rFonts w:hint="eastAsia" w:ascii="宋体" w:hAnsi="宋体"/>
          <w:sz w:val="24"/>
        </w:rPr>
        <w:t>七、付款方式：</w:t>
      </w:r>
    </w:p>
    <w:p w14:paraId="6E6C4982">
      <w:pPr>
        <w:numPr>
          <w:ilvl w:val="0"/>
          <w:numId w:val="8"/>
        </w:numPr>
        <w:spacing w:line="360" w:lineRule="auto"/>
        <w:rPr>
          <w:rFonts w:hint="eastAsia" w:ascii="宋体" w:hAnsi="宋体"/>
          <w:sz w:val="24"/>
        </w:rPr>
      </w:pPr>
      <w:r>
        <w:rPr>
          <w:rFonts w:hint="eastAsia" w:ascii="宋体" w:hAnsi="宋体"/>
          <w:sz w:val="24"/>
        </w:rPr>
        <w:t>银行承兑汇票或或现金电汇。付款方式为电汇付款，则乙方对甲方的支付金额给予1%的现金折扣（其中付至农民工工资专户的农民工工资不享受该现金折扣）。</w:t>
      </w:r>
    </w:p>
    <w:p w14:paraId="4B4CEC93">
      <w:pPr>
        <w:numPr>
          <w:ilvl w:val="0"/>
          <w:numId w:val="8"/>
        </w:numPr>
        <w:spacing w:line="360" w:lineRule="auto"/>
        <w:rPr>
          <w:rFonts w:hint="eastAsia" w:ascii="宋体" w:hAnsi="宋体"/>
          <w:sz w:val="24"/>
        </w:rPr>
      </w:pPr>
      <w:r>
        <w:rPr>
          <w:rFonts w:hint="eastAsia" w:ascii="宋体" w:hAnsi="宋体"/>
          <w:sz w:val="24"/>
        </w:rPr>
        <w:t>完成施工图设计并提供经审查合格的全套文件资料交于采购人，采购人在30日内支付合同金额的70%。</w:t>
      </w:r>
    </w:p>
    <w:p w14:paraId="611C900D">
      <w:pPr>
        <w:numPr>
          <w:ilvl w:val="0"/>
          <w:numId w:val="8"/>
        </w:numPr>
        <w:spacing w:line="360" w:lineRule="auto"/>
        <w:rPr>
          <w:rFonts w:hint="eastAsia" w:ascii="宋体" w:hAnsi="宋体"/>
          <w:sz w:val="24"/>
        </w:rPr>
      </w:pPr>
      <w:r>
        <w:rPr>
          <w:rFonts w:hint="eastAsia" w:ascii="宋体" w:hAnsi="宋体"/>
          <w:sz w:val="24"/>
        </w:rPr>
        <w:t>工程竣工验收后，30日内支付合同金额的30% 。</w:t>
      </w:r>
    </w:p>
    <w:p w14:paraId="1FCF3BF5">
      <w:pPr>
        <w:numPr>
          <w:ilvl w:val="0"/>
          <w:numId w:val="8"/>
        </w:numPr>
        <w:spacing w:line="360" w:lineRule="auto"/>
        <w:rPr>
          <w:rFonts w:hint="eastAsia" w:ascii="宋体" w:hAnsi="宋体"/>
          <w:sz w:val="24"/>
        </w:rPr>
      </w:pPr>
      <w:r>
        <w:rPr>
          <w:rFonts w:hint="eastAsia" w:ascii="宋体" w:hAnsi="宋体"/>
          <w:sz w:val="24"/>
        </w:rPr>
        <w:t>采购人在支付服务费前，需收到服务商开具税率为6%的全额增值税专用发票，否则不予支付。</w:t>
      </w:r>
    </w:p>
    <w:p w14:paraId="6C3BFBCB">
      <w:pPr>
        <w:spacing w:line="360" w:lineRule="auto"/>
        <w:rPr>
          <w:rFonts w:hint="eastAsia" w:ascii="宋体" w:hAnsi="宋体"/>
          <w:sz w:val="24"/>
        </w:rPr>
      </w:pPr>
      <w:r>
        <w:rPr>
          <w:rFonts w:hint="eastAsia" w:ascii="宋体" w:hAnsi="宋体"/>
          <w:sz w:val="24"/>
        </w:rPr>
        <w:t>八、询比价公告时间</w:t>
      </w:r>
    </w:p>
    <w:p w14:paraId="54379A20">
      <w:pPr>
        <w:numPr>
          <w:ilvl w:val="0"/>
          <w:numId w:val="9"/>
        </w:numPr>
        <w:spacing w:line="360" w:lineRule="auto"/>
        <w:rPr>
          <w:rFonts w:hint="eastAsia" w:ascii="宋体" w:hAnsi="宋体" w:cs="宋体"/>
          <w:sz w:val="24"/>
        </w:rPr>
      </w:pPr>
      <w:r>
        <w:rPr>
          <w:rFonts w:hint="eastAsia" w:ascii="宋体" w:hAnsi="宋体"/>
          <w:sz w:val="24"/>
        </w:rPr>
        <w:t>本次询比价公告开始时间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8</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1</w:t>
      </w:r>
      <w:r>
        <w:rPr>
          <w:rFonts w:hint="eastAsia" w:ascii="宋体" w:hAnsi="宋体"/>
          <w:sz w:val="24"/>
          <w:u w:val="single"/>
          <w:lang w:val="en-US" w:eastAsia="zh-CN"/>
        </w:rPr>
        <w:t>4</w:t>
      </w:r>
      <w:r>
        <w:rPr>
          <w:rFonts w:hint="eastAsia" w:ascii="宋体" w:hAnsi="宋体"/>
          <w:sz w:val="24"/>
        </w:rPr>
        <w:t>日，公告结束时间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8</w:t>
      </w:r>
      <w:r>
        <w:rPr>
          <w:rFonts w:hint="eastAsia" w:ascii="宋体" w:hAnsi="宋体"/>
          <w:sz w:val="24"/>
        </w:rPr>
        <w:t>月</w:t>
      </w:r>
      <w:r>
        <w:rPr>
          <w:rFonts w:hint="eastAsia" w:ascii="宋体" w:hAnsi="宋体"/>
          <w:sz w:val="24"/>
          <w:u w:val="single"/>
          <w:lang w:val="en-US" w:eastAsia="zh-CN"/>
        </w:rPr>
        <w:t>18</w:t>
      </w:r>
      <w:r>
        <w:rPr>
          <w:rFonts w:hint="eastAsia" w:ascii="宋体" w:hAnsi="宋体"/>
          <w:sz w:val="24"/>
        </w:rPr>
        <w:t>日。</w:t>
      </w:r>
    </w:p>
    <w:p w14:paraId="74208F5E">
      <w:pPr>
        <w:numPr>
          <w:ilvl w:val="0"/>
          <w:numId w:val="9"/>
        </w:numPr>
        <w:spacing w:line="360" w:lineRule="auto"/>
        <w:rPr>
          <w:rFonts w:hint="eastAsia" w:ascii="宋体" w:hAnsi="宋体"/>
          <w:sz w:val="24"/>
        </w:rPr>
      </w:pPr>
      <w:r>
        <w:rPr>
          <w:rFonts w:hint="eastAsia" w:ascii="宋体" w:hAnsi="宋体"/>
          <w:sz w:val="24"/>
        </w:rPr>
        <w:t xml:space="preserve">取得询比价文件的联系方式： </w:t>
      </w:r>
    </w:p>
    <w:p w14:paraId="20290FDF">
      <w:pPr>
        <w:spacing w:line="360" w:lineRule="auto"/>
        <w:ind w:firstLine="480" w:firstLineChars="200"/>
        <w:rPr>
          <w:rFonts w:hint="eastAsia" w:ascii="宋体" w:hAnsi="宋体"/>
          <w:sz w:val="24"/>
        </w:rPr>
      </w:pPr>
      <w:r>
        <w:rPr>
          <w:rFonts w:hint="eastAsia" w:ascii="宋体" w:hAnsi="宋体"/>
          <w:sz w:val="24"/>
        </w:rPr>
        <w:t>采   购   人：重庆国际复合材料股份有限公司</w:t>
      </w:r>
    </w:p>
    <w:p w14:paraId="6252A844">
      <w:pPr>
        <w:spacing w:line="360" w:lineRule="auto"/>
        <w:ind w:firstLine="480" w:firstLineChars="200"/>
        <w:rPr>
          <w:rFonts w:hint="eastAsia" w:ascii="宋体" w:hAnsi="宋体"/>
          <w:sz w:val="24"/>
        </w:rPr>
      </w:pPr>
      <w:r>
        <w:rPr>
          <w:rFonts w:hint="eastAsia" w:ascii="宋体" w:hAnsi="宋体"/>
          <w:sz w:val="24"/>
        </w:rPr>
        <w:t>办  公 地 址：重庆市大渡口区建桥工业园B区</w:t>
      </w:r>
    </w:p>
    <w:p w14:paraId="180E12C5">
      <w:pPr>
        <w:spacing w:line="360" w:lineRule="auto"/>
        <w:ind w:firstLine="480" w:firstLineChars="200"/>
        <w:rPr>
          <w:rFonts w:hint="eastAsia" w:ascii="宋体" w:hAnsi="宋体"/>
          <w:sz w:val="24"/>
        </w:rPr>
      </w:pPr>
      <w:r>
        <w:rPr>
          <w:rFonts w:hint="eastAsia" w:ascii="宋体" w:hAnsi="宋体"/>
          <w:sz w:val="24"/>
        </w:rPr>
        <w:t>联   系   人：</w:t>
      </w:r>
      <w:r>
        <w:rPr>
          <w:rFonts w:hint="eastAsia" w:ascii="宋体" w:hAnsi="宋体"/>
          <w:sz w:val="24"/>
          <w:u w:val="single"/>
        </w:rPr>
        <w:t xml:space="preserve"> 杨</w:t>
      </w:r>
      <w:r>
        <w:rPr>
          <w:rFonts w:hint="eastAsia" w:ascii="宋体" w:hAnsi="宋体"/>
          <w:sz w:val="24"/>
          <w:u w:val="single"/>
          <w:lang w:val="en-US" w:eastAsia="zh-CN"/>
        </w:rPr>
        <w:t>老师</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18983993055  </w:t>
      </w:r>
    </w:p>
    <w:p w14:paraId="6EF2CFC7">
      <w:pPr>
        <w:spacing w:line="360" w:lineRule="auto"/>
        <w:rPr>
          <w:rFonts w:hint="eastAsia" w:ascii="宋体" w:hAnsi="宋体"/>
          <w:sz w:val="24"/>
        </w:rPr>
      </w:pPr>
      <w:r>
        <w:rPr>
          <w:rFonts w:ascii="宋体" w:hAnsi="宋体"/>
          <w:sz w:val="24"/>
        </w:rPr>
        <w:t>九</w:t>
      </w:r>
      <w:r>
        <w:rPr>
          <w:rFonts w:hint="eastAsia" w:ascii="宋体" w:hAnsi="宋体"/>
          <w:sz w:val="24"/>
        </w:rPr>
        <w:t>、</w:t>
      </w:r>
      <w:r>
        <w:rPr>
          <w:rFonts w:ascii="宋体" w:hAnsi="宋体"/>
          <w:sz w:val="24"/>
        </w:rPr>
        <w:t>监督</w:t>
      </w:r>
      <w:r>
        <w:rPr>
          <w:rFonts w:hint="eastAsia" w:ascii="宋体" w:hAnsi="宋体"/>
          <w:sz w:val="24"/>
        </w:rPr>
        <w:t>联系方式</w:t>
      </w:r>
    </w:p>
    <w:p w14:paraId="7419F8AE">
      <w:pPr>
        <w:spacing w:line="360" w:lineRule="auto"/>
        <w:ind w:firstLine="480"/>
        <w:rPr>
          <w:rFonts w:hint="eastAsia" w:ascii="宋体" w:hAnsi="宋体"/>
          <w:sz w:val="24"/>
        </w:rPr>
      </w:pPr>
      <w:r>
        <w:rPr>
          <w:rFonts w:hint="eastAsia" w:ascii="宋体" w:hAnsi="宋体"/>
          <w:sz w:val="24"/>
        </w:rPr>
        <w:t>监督人：重庆国际复合材料股份有限公司</w:t>
      </w:r>
    </w:p>
    <w:p w14:paraId="236620ED">
      <w:pPr>
        <w:spacing w:line="360" w:lineRule="auto"/>
        <w:ind w:firstLine="480"/>
        <w:rPr>
          <w:rFonts w:hint="eastAsia" w:ascii="宋体" w:hAnsi="宋体"/>
          <w:sz w:val="24"/>
        </w:rPr>
      </w:pPr>
      <w:r>
        <w:rPr>
          <w:rFonts w:hint="eastAsia" w:ascii="宋体" w:hAnsi="宋体"/>
          <w:sz w:val="24"/>
        </w:rPr>
        <w:t>地址：重庆市大渡口区建桥工业园B区</w:t>
      </w:r>
    </w:p>
    <w:p w14:paraId="2009E55D">
      <w:pPr>
        <w:spacing w:line="360" w:lineRule="auto"/>
        <w:ind w:firstLine="480"/>
        <w:rPr>
          <w:rFonts w:hint="eastAsia" w:ascii="宋体" w:hAnsi="宋体"/>
          <w:sz w:val="24"/>
        </w:rPr>
      </w:pPr>
      <w:r>
        <w:rPr>
          <w:rFonts w:hint="eastAsia" w:ascii="宋体" w:hAnsi="宋体"/>
          <w:sz w:val="24"/>
        </w:rPr>
        <w:t>联系人：付老师</w:t>
      </w:r>
    </w:p>
    <w:p w14:paraId="36B0DC47">
      <w:pPr>
        <w:spacing w:line="360" w:lineRule="auto"/>
        <w:ind w:firstLine="480"/>
        <w:rPr>
          <w:rFonts w:hint="eastAsia" w:ascii="宋体" w:hAnsi="宋体"/>
          <w:sz w:val="24"/>
        </w:rPr>
      </w:pPr>
      <w:r>
        <w:rPr>
          <w:rFonts w:hint="eastAsia" w:ascii="宋体" w:hAnsi="宋体"/>
          <w:sz w:val="24"/>
        </w:rPr>
        <w:t>联系电话：023-68536643</w:t>
      </w:r>
    </w:p>
    <w:p w14:paraId="39FF722D">
      <w:pPr>
        <w:spacing w:line="360" w:lineRule="auto"/>
        <w:ind w:firstLine="480"/>
        <w:rPr>
          <w:rFonts w:hint="eastAsia" w:ascii="宋体" w:hAnsi="宋体"/>
          <w:sz w:val="24"/>
        </w:rPr>
      </w:pPr>
      <w:r>
        <w:rPr>
          <w:rFonts w:hint="eastAsia" w:ascii="宋体" w:hAnsi="宋体"/>
          <w:sz w:val="24"/>
        </w:rPr>
        <w:t>邮箱：</w:t>
      </w:r>
      <w:r>
        <w:rPr>
          <w:rFonts w:ascii="宋体" w:hAnsi="宋体" w:cs="宋体"/>
          <w:sz w:val="24"/>
        </w:rPr>
        <w:t>fuwei4253@cpicfiber.com</w:t>
      </w:r>
    </w:p>
    <w:p w14:paraId="17CBEEC8">
      <w:pPr>
        <w:spacing w:line="360" w:lineRule="auto"/>
        <w:rPr>
          <w:rFonts w:hint="eastAsia" w:ascii="宋体" w:hAnsi="宋体"/>
          <w:sz w:val="24"/>
        </w:rPr>
      </w:pPr>
      <w:r>
        <w:rPr>
          <w:rFonts w:hint="eastAsia" w:ascii="宋体" w:hAnsi="宋体"/>
          <w:sz w:val="24"/>
        </w:rPr>
        <w:t>十、文件递交：</w:t>
      </w:r>
    </w:p>
    <w:p w14:paraId="05943E9C">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报价文件递交截止时间：</w:t>
      </w:r>
      <w:r>
        <w:rPr>
          <w:rFonts w:hint="eastAsia" w:ascii="宋体" w:hAnsi="宋体" w:cs="宋体"/>
          <w:sz w:val="24"/>
          <w:u w:val="single"/>
        </w:rPr>
        <w:t xml:space="preserve"> 2025 </w:t>
      </w:r>
      <w:r>
        <w:rPr>
          <w:rFonts w:hint="eastAsia" w:ascii="宋体" w:hAnsi="宋体" w:cs="宋体"/>
          <w:sz w:val="24"/>
        </w:rPr>
        <w:t>年</w:t>
      </w:r>
      <w:r>
        <w:rPr>
          <w:rFonts w:hint="eastAsia" w:ascii="宋体" w:hAnsi="宋体" w:cs="宋体"/>
          <w:sz w:val="24"/>
          <w:u w:val="single"/>
          <w:lang w:val="en-US" w:eastAsia="zh-CN"/>
        </w:rPr>
        <w:t>8</w:t>
      </w:r>
      <w:r>
        <w:rPr>
          <w:rFonts w:hint="eastAsia" w:ascii="宋体" w:hAnsi="宋体" w:cs="宋体"/>
          <w:sz w:val="24"/>
        </w:rPr>
        <w:t xml:space="preserve">月 </w:t>
      </w:r>
      <w:r>
        <w:rPr>
          <w:rFonts w:hint="eastAsia" w:ascii="宋体" w:hAnsi="宋体" w:cs="宋体"/>
          <w:sz w:val="24"/>
          <w:u w:val="single"/>
          <w:lang w:val="en-US" w:eastAsia="zh-CN"/>
        </w:rPr>
        <w:t>19</w:t>
      </w:r>
      <w:r>
        <w:rPr>
          <w:rFonts w:hint="eastAsia" w:ascii="宋体" w:hAnsi="宋体" w:cs="宋体"/>
          <w:sz w:val="24"/>
        </w:rPr>
        <w:t>日上午</w:t>
      </w:r>
      <w:r>
        <w:rPr>
          <w:rFonts w:ascii="宋体" w:hAnsi="宋体" w:cs="宋体"/>
          <w:sz w:val="24"/>
          <w:u w:val="single"/>
        </w:rPr>
        <w:t xml:space="preserve"> </w:t>
      </w:r>
      <w:r>
        <w:rPr>
          <w:rFonts w:hint="eastAsia" w:ascii="宋体" w:hAnsi="宋体" w:cs="宋体"/>
          <w:sz w:val="24"/>
          <w:u w:val="single"/>
        </w:rPr>
        <w:t xml:space="preserve">10 </w:t>
      </w:r>
      <w:r>
        <w:rPr>
          <w:rFonts w:ascii="宋体" w:hAnsi="宋体" w:cs="宋体"/>
          <w:sz w:val="24"/>
        </w:rPr>
        <w:t>时</w:t>
      </w:r>
      <w:r>
        <w:rPr>
          <w:rFonts w:hint="eastAsia" w:ascii="宋体" w:hAnsi="宋体" w:cs="宋体"/>
          <w:sz w:val="24"/>
          <w:u w:val="single"/>
        </w:rPr>
        <w:t xml:space="preserve"> 00</w:t>
      </w:r>
      <w:r>
        <w:rPr>
          <w:rFonts w:ascii="宋体" w:hAnsi="宋体" w:cs="宋体"/>
          <w:sz w:val="24"/>
          <w:u w:val="single"/>
        </w:rPr>
        <w:t xml:space="preserve"> </w:t>
      </w:r>
      <w:r>
        <w:rPr>
          <w:rFonts w:hint="eastAsia" w:ascii="宋体" w:hAnsi="宋体" w:cs="宋体"/>
          <w:sz w:val="24"/>
        </w:rPr>
        <w:t>分；递交地点为：重庆市大渡口区重庆国际复合材料股份有限公司。</w:t>
      </w:r>
    </w:p>
    <w:p w14:paraId="233292E2">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比价时间：报价文件递交截止之日起3个工作日内。</w:t>
      </w:r>
    </w:p>
    <w:p w14:paraId="6639A205">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比价地点：重庆市大渡口区重庆国际复合材料股份有限公司大渡口本部。</w:t>
      </w:r>
    </w:p>
    <w:p w14:paraId="4C098351">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逾期送达的、未送达指定地点或不按照要求密封</w:t>
      </w:r>
      <w:r>
        <w:rPr>
          <w:rFonts w:hint="eastAsia" w:ascii="宋体" w:hAnsi="宋体" w:cs="宋体"/>
          <w:color w:val="000000"/>
          <w:sz w:val="24"/>
        </w:rPr>
        <w:t>的</w:t>
      </w:r>
      <w:r>
        <w:rPr>
          <w:rFonts w:hint="eastAsia" w:ascii="宋体" w:hAnsi="宋体" w:cs="宋体"/>
          <w:sz w:val="24"/>
        </w:rPr>
        <w:t>报价文件，采购人不予受理。</w:t>
      </w:r>
    </w:p>
    <w:p w14:paraId="6AB8EA7C">
      <w:pPr>
        <w:spacing w:line="360" w:lineRule="auto"/>
        <w:jc w:val="left"/>
        <w:rPr>
          <w:rFonts w:hint="eastAsia" w:ascii="宋体" w:hAnsi="宋体"/>
          <w:snapToGrid w:val="0"/>
          <w:kern w:val="0"/>
          <w:sz w:val="24"/>
        </w:rPr>
      </w:pPr>
      <w:r>
        <w:rPr>
          <w:rFonts w:ascii="宋体" w:hAnsi="宋体"/>
          <w:snapToGrid w:val="0"/>
          <w:kern w:val="0"/>
          <w:sz w:val="24"/>
        </w:rPr>
        <w:t>十一</w:t>
      </w:r>
      <w:r>
        <w:rPr>
          <w:rFonts w:hint="eastAsia" w:ascii="宋体" w:hAnsi="宋体"/>
          <w:snapToGrid w:val="0"/>
          <w:kern w:val="0"/>
          <w:sz w:val="24"/>
        </w:rPr>
        <w:t>、比价方式：</w:t>
      </w:r>
    </w:p>
    <w:p w14:paraId="23FF8AAD">
      <w:pPr>
        <w:spacing w:line="360" w:lineRule="auto"/>
        <w:jc w:val="left"/>
        <w:rPr>
          <w:rFonts w:hint="eastAsia" w:ascii="宋体" w:hAnsi="宋体"/>
          <w:snapToGrid w:val="0"/>
          <w:kern w:val="0"/>
          <w:sz w:val="24"/>
        </w:rPr>
      </w:pPr>
      <w:r>
        <w:rPr>
          <w:rFonts w:hint="eastAsia" w:ascii="宋体" w:hAnsi="宋体"/>
          <w:snapToGrid w:val="0"/>
          <w:kern w:val="0"/>
          <w:sz w:val="24"/>
        </w:rPr>
        <w:t>（1）本次比价采取经资格后审合格采用综合评分法。</w:t>
      </w:r>
    </w:p>
    <w:p w14:paraId="58A8A2C6">
      <w:pPr>
        <w:spacing w:line="360" w:lineRule="auto"/>
        <w:jc w:val="left"/>
        <w:rPr>
          <w:rFonts w:hint="eastAsia" w:ascii="宋体" w:hAnsi="宋体"/>
          <w:snapToGrid w:val="0"/>
          <w:kern w:val="0"/>
          <w:sz w:val="24"/>
        </w:rPr>
      </w:pPr>
      <w:r>
        <w:rPr>
          <w:rFonts w:hint="eastAsia" w:ascii="宋体" w:hAnsi="宋体"/>
          <w:snapToGrid w:val="0"/>
          <w:kern w:val="0"/>
          <w:sz w:val="24"/>
        </w:rPr>
        <w:t>1.1对满足资格要求的所有竞选人的谈判文件，进入符合性审查。</w:t>
      </w:r>
    </w:p>
    <w:p w14:paraId="197D3843">
      <w:pPr>
        <w:spacing w:line="360" w:lineRule="auto"/>
        <w:jc w:val="left"/>
        <w:rPr>
          <w:rFonts w:hint="eastAsia" w:ascii="宋体" w:hAnsi="宋体"/>
          <w:snapToGrid w:val="0"/>
          <w:kern w:val="0"/>
          <w:sz w:val="24"/>
        </w:rPr>
      </w:pPr>
      <w:r>
        <w:rPr>
          <w:rFonts w:hint="eastAsia" w:ascii="宋体" w:hAnsi="宋体"/>
          <w:snapToGrid w:val="0"/>
          <w:kern w:val="0"/>
          <w:sz w:val="24"/>
        </w:rPr>
        <w:t>1.2符合性审查合格的竞选人中，综合评分最高的成为第一成交候选人，综合评分次高的成为第二成交候选人，依次类推。</w:t>
      </w:r>
    </w:p>
    <w:p w14:paraId="79F5FBA3">
      <w:pPr>
        <w:spacing w:line="360" w:lineRule="auto"/>
        <w:jc w:val="left"/>
        <w:rPr>
          <w:rFonts w:hint="eastAsia" w:ascii="宋体" w:hAnsi="宋体"/>
          <w:snapToGrid w:val="0"/>
          <w:kern w:val="0"/>
          <w:sz w:val="24"/>
        </w:rPr>
      </w:pPr>
      <w:r>
        <w:rPr>
          <w:rFonts w:hint="eastAsia" w:ascii="宋体" w:hAnsi="宋体"/>
          <w:snapToGrid w:val="0"/>
          <w:kern w:val="0"/>
          <w:sz w:val="24"/>
        </w:rPr>
        <w:t>1.3因询比价小组作否决处理，导致有效供应商不足三个的，询比价小组应当否决所有询比价文件。</w:t>
      </w:r>
    </w:p>
    <w:p w14:paraId="3BB986F6">
      <w:pPr>
        <w:spacing w:line="360" w:lineRule="auto"/>
        <w:jc w:val="left"/>
        <w:rPr>
          <w:rFonts w:hint="eastAsia" w:ascii="宋体" w:hAnsi="宋体"/>
          <w:snapToGrid w:val="0"/>
          <w:kern w:val="0"/>
          <w:sz w:val="24"/>
        </w:rPr>
      </w:pPr>
      <w:r>
        <w:rPr>
          <w:rFonts w:hint="eastAsia" w:ascii="宋体" w:hAnsi="宋体"/>
          <w:snapToGrid w:val="0"/>
          <w:kern w:val="0"/>
          <w:sz w:val="24"/>
        </w:rPr>
        <w:t>（2）评选方法：采用综合评分法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198"/>
        <w:gridCol w:w="1152"/>
        <w:gridCol w:w="2671"/>
        <w:gridCol w:w="2396"/>
      </w:tblGrid>
      <w:tr w14:paraId="3024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14:paraId="577B6D39">
            <w:pPr>
              <w:spacing w:line="360" w:lineRule="auto"/>
              <w:jc w:val="center"/>
              <w:rPr>
                <w:rFonts w:hint="eastAsia" w:ascii="宋体" w:hAnsi="宋体"/>
                <w:color w:val="000000"/>
                <w:sz w:val="24"/>
              </w:rPr>
            </w:pPr>
            <w:r>
              <w:rPr>
                <w:rFonts w:hint="eastAsia" w:ascii="宋体" w:hAnsi="宋体"/>
                <w:color w:val="000000"/>
                <w:sz w:val="24"/>
              </w:rPr>
              <w:t>条款号</w:t>
            </w:r>
          </w:p>
        </w:tc>
        <w:tc>
          <w:tcPr>
            <w:tcW w:w="1198" w:type="dxa"/>
          </w:tcPr>
          <w:p w14:paraId="351A0617">
            <w:pPr>
              <w:spacing w:line="360" w:lineRule="auto"/>
              <w:jc w:val="center"/>
              <w:rPr>
                <w:rFonts w:hint="eastAsia" w:ascii="宋体" w:hAnsi="宋体"/>
                <w:color w:val="000000"/>
                <w:sz w:val="24"/>
              </w:rPr>
            </w:pPr>
          </w:p>
        </w:tc>
        <w:tc>
          <w:tcPr>
            <w:tcW w:w="1152" w:type="dxa"/>
          </w:tcPr>
          <w:p w14:paraId="426866CA">
            <w:pPr>
              <w:spacing w:line="360" w:lineRule="auto"/>
              <w:jc w:val="center"/>
              <w:rPr>
                <w:rFonts w:hint="eastAsia" w:ascii="宋体" w:hAnsi="宋体"/>
                <w:color w:val="000000"/>
                <w:sz w:val="24"/>
              </w:rPr>
            </w:pPr>
            <w:r>
              <w:rPr>
                <w:rFonts w:hint="eastAsia" w:ascii="宋体" w:hAnsi="宋体"/>
                <w:color w:val="000000"/>
                <w:sz w:val="24"/>
              </w:rPr>
              <w:t>评审因数</w:t>
            </w:r>
          </w:p>
        </w:tc>
        <w:tc>
          <w:tcPr>
            <w:tcW w:w="5067" w:type="dxa"/>
            <w:gridSpan w:val="2"/>
          </w:tcPr>
          <w:p w14:paraId="3A3C2355">
            <w:pPr>
              <w:spacing w:line="360" w:lineRule="auto"/>
              <w:jc w:val="center"/>
              <w:rPr>
                <w:rFonts w:hint="eastAsia" w:ascii="宋体" w:hAnsi="宋体"/>
                <w:color w:val="000000"/>
                <w:sz w:val="24"/>
              </w:rPr>
            </w:pPr>
            <w:r>
              <w:rPr>
                <w:rFonts w:hint="eastAsia" w:ascii="宋体" w:hAnsi="宋体"/>
                <w:color w:val="000000"/>
                <w:sz w:val="24"/>
              </w:rPr>
              <w:t>评审标准</w:t>
            </w:r>
          </w:p>
        </w:tc>
      </w:tr>
      <w:tr w14:paraId="63F5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14:paraId="7AAF8A0F">
            <w:pPr>
              <w:spacing w:line="360" w:lineRule="auto"/>
              <w:rPr>
                <w:rFonts w:hint="eastAsia" w:ascii="宋体" w:hAnsi="宋体"/>
                <w:color w:val="000000"/>
                <w:sz w:val="24"/>
              </w:rPr>
            </w:pPr>
            <w:r>
              <w:rPr>
                <w:rFonts w:hint="eastAsia" w:ascii="宋体" w:hAnsi="宋体"/>
                <w:color w:val="000000"/>
                <w:sz w:val="24"/>
              </w:rPr>
              <w:t>2.1</w:t>
            </w:r>
          </w:p>
        </w:tc>
        <w:tc>
          <w:tcPr>
            <w:tcW w:w="1198" w:type="dxa"/>
          </w:tcPr>
          <w:p w14:paraId="3B504AF3">
            <w:pPr>
              <w:spacing w:line="360" w:lineRule="auto"/>
              <w:rPr>
                <w:rFonts w:hint="eastAsia" w:ascii="宋体" w:hAnsi="宋体"/>
                <w:color w:val="000000"/>
                <w:sz w:val="24"/>
              </w:rPr>
            </w:pPr>
          </w:p>
        </w:tc>
        <w:tc>
          <w:tcPr>
            <w:tcW w:w="1152" w:type="dxa"/>
          </w:tcPr>
          <w:p w14:paraId="12581C87">
            <w:pPr>
              <w:spacing w:line="360" w:lineRule="auto"/>
              <w:rPr>
                <w:rFonts w:hint="eastAsia" w:ascii="宋体" w:hAnsi="宋体"/>
                <w:color w:val="000000"/>
                <w:sz w:val="24"/>
              </w:rPr>
            </w:pPr>
            <w:r>
              <w:rPr>
                <w:rFonts w:hint="eastAsia" w:ascii="宋体" w:hAnsi="宋体"/>
                <w:color w:val="000000"/>
                <w:sz w:val="24"/>
              </w:rPr>
              <w:t>分值构成</w:t>
            </w:r>
          </w:p>
          <w:p w14:paraId="594B2F1F">
            <w:pPr>
              <w:spacing w:line="360" w:lineRule="auto"/>
              <w:rPr>
                <w:rFonts w:hint="eastAsia" w:ascii="宋体" w:hAnsi="宋体"/>
                <w:color w:val="000000"/>
                <w:sz w:val="24"/>
              </w:rPr>
            </w:pPr>
            <w:r>
              <w:rPr>
                <w:rFonts w:hint="eastAsia" w:ascii="宋体" w:hAnsi="宋体"/>
                <w:color w:val="000000"/>
                <w:sz w:val="24"/>
              </w:rPr>
              <w:t>(总分100分)</w:t>
            </w:r>
          </w:p>
        </w:tc>
        <w:tc>
          <w:tcPr>
            <w:tcW w:w="5067" w:type="dxa"/>
            <w:gridSpan w:val="2"/>
          </w:tcPr>
          <w:p w14:paraId="345BAE6D">
            <w:pPr>
              <w:spacing w:line="360" w:lineRule="auto"/>
              <w:rPr>
                <w:rFonts w:hint="eastAsia" w:ascii="宋体" w:hAnsi="宋体"/>
                <w:color w:val="000000"/>
                <w:sz w:val="24"/>
              </w:rPr>
            </w:pPr>
            <w:r>
              <w:rPr>
                <w:rFonts w:hint="eastAsia" w:ascii="宋体" w:hAnsi="宋体"/>
                <w:color w:val="000000"/>
                <w:sz w:val="24"/>
              </w:rPr>
              <w:t>投选报价80分</w:t>
            </w:r>
          </w:p>
          <w:p w14:paraId="3C3F503C">
            <w:pPr>
              <w:spacing w:line="360" w:lineRule="auto"/>
              <w:rPr>
                <w:rFonts w:hint="eastAsia" w:ascii="宋体" w:hAnsi="宋体"/>
                <w:color w:val="000000"/>
                <w:sz w:val="24"/>
              </w:rPr>
            </w:pPr>
            <w:r>
              <w:rPr>
                <w:rFonts w:hint="eastAsia" w:ascii="宋体" w:hAnsi="宋体"/>
                <w:color w:val="000000"/>
                <w:sz w:val="24"/>
              </w:rPr>
              <w:t>技术部分20分</w:t>
            </w:r>
          </w:p>
        </w:tc>
      </w:tr>
      <w:tr w14:paraId="73AE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14:paraId="6837D2C0">
            <w:pPr>
              <w:spacing w:line="360" w:lineRule="auto"/>
              <w:rPr>
                <w:rFonts w:hint="eastAsia" w:ascii="宋体" w:hAnsi="宋体"/>
                <w:color w:val="000000"/>
                <w:sz w:val="24"/>
              </w:rPr>
            </w:pPr>
            <w:r>
              <w:rPr>
                <w:rFonts w:hint="eastAsia" w:ascii="宋体" w:hAnsi="宋体"/>
                <w:color w:val="000000"/>
                <w:sz w:val="24"/>
              </w:rPr>
              <w:t>2.2</w:t>
            </w:r>
          </w:p>
        </w:tc>
        <w:tc>
          <w:tcPr>
            <w:tcW w:w="1198" w:type="dxa"/>
          </w:tcPr>
          <w:p w14:paraId="409D0D68">
            <w:pPr>
              <w:spacing w:line="360" w:lineRule="auto"/>
              <w:rPr>
                <w:rFonts w:hint="eastAsia" w:ascii="宋体" w:hAnsi="宋体"/>
                <w:color w:val="000000"/>
                <w:sz w:val="24"/>
              </w:rPr>
            </w:pPr>
            <w:r>
              <w:rPr>
                <w:rFonts w:hint="eastAsia" w:ascii="宋体" w:hAnsi="宋体"/>
                <w:color w:val="000000"/>
                <w:sz w:val="24"/>
              </w:rPr>
              <w:t>评标基准价</w:t>
            </w:r>
          </w:p>
        </w:tc>
        <w:tc>
          <w:tcPr>
            <w:tcW w:w="1152" w:type="dxa"/>
          </w:tcPr>
          <w:p w14:paraId="641819B5">
            <w:pPr>
              <w:spacing w:line="360" w:lineRule="auto"/>
              <w:rPr>
                <w:rFonts w:hint="eastAsia" w:ascii="宋体" w:hAnsi="宋体"/>
                <w:color w:val="000000"/>
                <w:sz w:val="24"/>
              </w:rPr>
            </w:pPr>
            <w:r>
              <w:rPr>
                <w:rFonts w:hint="eastAsia" w:ascii="宋体" w:hAnsi="宋体"/>
                <w:color w:val="000000"/>
                <w:sz w:val="24"/>
              </w:rPr>
              <w:t>评标基准价计算方法</w:t>
            </w:r>
          </w:p>
        </w:tc>
        <w:tc>
          <w:tcPr>
            <w:tcW w:w="5067" w:type="dxa"/>
            <w:gridSpan w:val="2"/>
          </w:tcPr>
          <w:p w14:paraId="0B9F272C">
            <w:pPr>
              <w:spacing w:line="360" w:lineRule="auto"/>
              <w:rPr>
                <w:rFonts w:hint="eastAsia" w:ascii="宋体" w:hAnsi="宋体"/>
                <w:color w:val="000000"/>
                <w:sz w:val="24"/>
              </w:rPr>
            </w:pPr>
            <w:r>
              <w:rPr>
                <w:rFonts w:hint="eastAsia" w:ascii="宋体" w:hAnsi="宋体"/>
                <w:color w:val="000000"/>
                <w:sz w:val="24"/>
              </w:rPr>
              <w:t>当所有通过初步评审合格的投选人数量大于等于6家时，将所有投选人的投选总报价按照从低到高的顺序排列，去掉最低价（去掉家数的计算方式：通过初步评审合格的投选人数量*1/6。不能整除的按小数点前的整数取整）和最高价（去掉家数等同最低价的去掉家数），对剩余投选总报价进行算术平均计算，所得结果即为投选总报价的评标基准价；若通过初步评审合格的投选人不足6家，直接对所有投选人的投选总报价进行算术平均计算，所得结果即为投选总报价的评标基准价。</w:t>
            </w:r>
          </w:p>
        </w:tc>
      </w:tr>
      <w:tr w14:paraId="3A36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Merge w:val="restart"/>
          </w:tcPr>
          <w:p w14:paraId="091CE65C">
            <w:pPr>
              <w:spacing w:line="360" w:lineRule="auto"/>
              <w:rPr>
                <w:rFonts w:hint="eastAsia" w:ascii="宋体" w:hAnsi="宋体"/>
                <w:color w:val="000000"/>
                <w:sz w:val="24"/>
              </w:rPr>
            </w:pPr>
            <w:r>
              <w:rPr>
                <w:rFonts w:hint="eastAsia" w:ascii="宋体" w:hAnsi="宋体"/>
                <w:color w:val="000000"/>
                <w:sz w:val="24"/>
              </w:rPr>
              <w:t>2.3</w:t>
            </w:r>
          </w:p>
        </w:tc>
        <w:tc>
          <w:tcPr>
            <w:tcW w:w="1198" w:type="dxa"/>
          </w:tcPr>
          <w:p w14:paraId="34BE0727">
            <w:pPr>
              <w:spacing w:line="360" w:lineRule="auto"/>
              <w:rPr>
                <w:rFonts w:hint="eastAsia" w:ascii="宋体" w:hAnsi="宋体"/>
                <w:color w:val="000000"/>
                <w:sz w:val="24"/>
              </w:rPr>
            </w:pPr>
            <w:r>
              <w:rPr>
                <w:rFonts w:hint="eastAsia" w:ascii="宋体" w:hAnsi="宋体"/>
                <w:color w:val="000000"/>
                <w:sz w:val="24"/>
              </w:rPr>
              <w:t>（1）</w:t>
            </w:r>
          </w:p>
        </w:tc>
        <w:tc>
          <w:tcPr>
            <w:tcW w:w="1152" w:type="dxa"/>
          </w:tcPr>
          <w:p w14:paraId="792531B1">
            <w:pPr>
              <w:spacing w:line="360" w:lineRule="auto"/>
              <w:rPr>
                <w:rFonts w:hint="eastAsia" w:ascii="宋体" w:hAnsi="宋体"/>
                <w:color w:val="000000"/>
                <w:sz w:val="24"/>
              </w:rPr>
            </w:pPr>
            <w:r>
              <w:rPr>
                <w:rFonts w:hint="eastAsia" w:ascii="宋体" w:hAnsi="宋体"/>
                <w:color w:val="000000"/>
                <w:sz w:val="24"/>
              </w:rPr>
              <w:t>投选报价评分标准A（80分）</w:t>
            </w:r>
          </w:p>
        </w:tc>
        <w:tc>
          <w:tcPr>
            <w:tcW w:w="5067" w:type="dxa"/>
            <w:gridSpan w:val="2"/>
          </w:tcPr>
          <w:p w14:paraId="22F03AEE">
            <w:pPr>
              <w:spacing w:line="360" w:lineRule="auto"/>
              <w:rPr>
                <w:rFonts w:hint="eastAsia" w:ascii="宋体" w:hAnsi="宋体"/>
                <w:color w:val="000000"/>
                <w:sz w:val="24"/>
              </w:rPr>
            </w:pPr>
            <w:r>
              <w:rPr>
                <w:rFonts w:hint="eastAsia" w:ascii="宋体" w:hAnsi="宋体"/>
                <w:color w:val="000000"/>
                <w:sz w:val="24"/>
              </w:rPr>
              <w:t>所有通过初步评审合格的投选人的投选总报价得本附表规定分值的满分80分。在此基础上，投选总报价与评标准基价相比，每增加1%扣1分，扣完为止，减少不扣分。</w:t>
            </w:r>
          </w:p>
          <w:p w14:paraId="75117807">
            <w:pPr>
              <w:spacing w:line="360" w:lineRule="auto"/>
              <w:rPr>
                <w:rFonts w:hint="eastAsia" w:ascii="宋体" w:hAnsi="宋体"/>
                <w:color w:val="000000"/>
                <w:sz w:val="24"/>
              </w:rPr>
            </w:pPr>
            <w:r>
              <w:rPr>
                <w:rFonts w:hint="eastAsia" w:ascii="宋体" w:hAnsi="宋体"/>
                <w:color w:val="000000"/>
                <w:sz w:val="24"/>
              </w:rPr>
              <w:t>注：按插入法计算得分；得分保留小数点后两位，小数点后第三位“四舍五入”</w:t>
            </w:r>
          </w:p>
        </w:tc>
      </w:tr>
      <w:tr w14:paraId="7952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Merge w:val="continue"/>
          </w:tcPr>
          <w:p w14:paraId="59EE4CA7">
            <w:pPr>
              <w:spacing w:line="360" w:lineRule="auto"/>
              <w:rPr>
                <w:rFonts w:hint="eastAsia" w:ascii="宋体" w:hAnsi="宋体"/>
                <w:color w:val="000000"/>
                <w:sz w:val="24"/>
              </w:rPr>
            </w:pPr>
          </w:p>
        </w:tc>
        <w:tc>
          <w:tcPr>
            <w:tcW w:w="1198" w:type="dxa"/>
            <w:vMerge w:val="restart"/>
          </w:tcPr>
          <w:p w14:paraId="25FF80EE">
            <w:pPr>
              <w:spacing w:line="360" w:lineRule="auto"/>
              <w:rPr>
                <w:rFonts w:hint="eastAsia" w:ascii="宋体" w:hAnsi="宋体"/>
                <w:color w:val="000000"/>
                <w:sz w:val="24"/>
              </w:rPr>
            </w:pPr>
            <w:r>
              <w:rPr>
                <w:rFonts w:hint="eastAsia" w:ascii="宋体" w:hAnsi="宋体"/>
                <w:color w:val="000000"/>
                <w:sz w:val="24"/>
              </w:rPr>
              <w:t>（2）</w:t>
            </w:r>
          </w:p>
        </w:tc>
        <w:tc>
          <w:tcPr>
            <w:tcW w:w="1152" w:type="dxa"/>
            <w:vMerge w:val="restart"/>
          </w:tcPr>
          <w:p w14:paraId="5601F144">
            <w:pPr>
              <w:spacing w:line="360" w:lineRule="auto"/>
              <w:rPr>
                <w:rFonts w:hint="eastAsia" w:ascii="宋体" w:hAnsi="宋体"/>
                <w:color w:val="000000"/>
                <w:sz w:val="24"/>
              </w:rPr>
            </w:pPr>
            <w:r>
              <w:rPr>
                <w:rFonts w:hint="eastAsia" w:ascii="宋体" w:hAnsi="宋体"/>
                <w:color w:val="000000"/>
                <w:sz w:val="24"/>
              </w:rPr>
              <w:t>技术部分评分标准B（20分）</w:t>
            </w:r>
          </w:p>
        </w:tc>
        <w:tc>
          <w:tcPr>
            <w:tcW w:w="2671" w:type="dxa"/>
          </w:tcPr>
          <w:p w14:paraId="2391B07F">
            <w:pPr>
              <w:spacing w:line="360" w:lineRule="auto"/>
              <w:rPr>
                <w:rFonts w:hint="eastAsia" w:ascii="宋体" w:hAnsi="宋体"/>
                <w:color w:val="000000"/>
                <w:sz w:val="24"/>
              </w:rPr>
            </w:pPr>
            <w:r>
              <w:rPr>
                <w:rFonts w:hint="eastAsia" w:ascii="宋体" w:hAnsi="宋体"/>
                <w:color w:val="000000"/>
                <w:sz w:val="24"/>
              </w:rPr>
              <w:t>工艺流程图、设备平面布置图、总图布置等合理性（满分10分）</w:t>
            </w:r>
          </w:p>
        </w:tc>
        <w:tc>
          <w:tcPr>
            <w:tcW w:w="2396" w:type="dxa"/>
          </w:tcPr>
          <w:p w14:paraId="272CB61B">
            <w:pPr>
              <w:spacing w:line="360" w:lineRule="auto"/>
              <w:rPr>
                <w:rFonts w:hint="eastAsia" w:ascii="宋体" w:hAnsi="宋体"/>
                <w:color w:val="000000"/>
                <w:sz w:val="24"/>
              </w:rPr>
            </w:pPr>
            <w:r>
              <w:rPr>
                <w:rFonts w:hint="eastAsia" w:ascii="宋体" w:hAnsi="宋体"/>
                <w:color w:val="000000"/>
                <w:sz w:val="24"/>
              </w:rPr>
              <w:t>根据报价人所提供的工艺流程图、设备平面布置图、总图布置等合理性，询比价小组进行横向对比排名，优秀得7-10分；良好得3-6.9分；一般得0-2.9分。</w:t>
            </w:r>
          </w:p>
        </w:tc>
      </w:tr>
      <w:tr w14:paraId="638F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Merge w:val="continue"/>
          </w:tcPr>
          <w:p w14:paraId="7C3F1CD5">
            <w:pPr>
              <w:spacing w:line="360" w:lineRule="auto"/>
              <w:rPr>
                <w:rFonts w:hint="eastAsia" w:ascii="宋体" w:hAnsi="宋体"/>
                <w:color w:val="000000"/>
                <w:sz w:val="24"/>
              </w:rPr>
            </w:pPr>
          </w:p>
        </w:tc>
        <w:tc>
          <w:tcPr>
            <w:tcW w:w="1198" w:type="dxa"/>
            <w:vMerge w:val="continue"/>
          </w:tcPr>
          <w:p w14:paraId="1C421A22">
            <w:pPr>
              <w:spacing w:line="360" w:lineRule="auto"/>
              <w:rPr>
                <w:rFonts w:hint="eastAsia" w:ascii="宋体" w:hAnsi="宋体"/>
                <w:color w:val="000000"/>
                <w:sz w:val="24"/>
              </w:rPr>
            </w:pPr>
          </w:p>
        </w:tc>
        <w:tc>
          <w:tcPr>
            <w:tcW w:w="1152" w:type="dxa"/>
            <w:vMerge w:val="continue"/>
          </w:tcPr>
          <w:p w14:paraId="2EF13C7B">
            <w:pPr>
              <w:spacing w:line="360" w:lineRule="auto"/>
              <w:rPr>
                <w:rFonts w:hint="eastAsia" w:ascii="宋体" w:hAnsi="宋体"/>
                <w:color w:val="000000"/>
                <w:sz w:val="24"/>
              </w:rPr>
            </w:pPr>
          </w:p>
        </w:tc>
        <w:tc>
          <w:tcPr>
            <w:tcW w:w="2671" w:type="dxa"/>
          </w:tcPr>
          <w:p w14:paraId="77AA0203">
            <w:pPr>
              <w:spacing w:line="360" w:lineRule="auto"/>
              <w:rPr>
                <w:rFonts w:hint="eastAsia" w:ascii="宋体" w:hAnsi="宋体"/>
                <w:color w:val="000000"/>
                <w:sz w:val="24"/>
              </w:rPr>
            </w:pPr>
            <w:r>
              <w:rPr>
                <w:rFonts w:hint="eastAsia" w:ascii="宋体" w:hAnsi="宋体"/>
                <w:color w:val="000000"/>
                <w:sz w:val="24"/>
              </w:rPr>
              <w:t>技术方案完整性、安全性及可靠性等（满分10分）</w:t>
            </w:r>
          </w:p>
        </w:tc>
        <w:tc>
          <w:tcPr>
            <w:tcW w:w="2396" w:type="dxa"/>
          </w:tcPr>
          <w:p w14:paraId="501C2A4B">
            <w:pPr>
              <w:spacing w:line="360" w:lineRule="auto"/>
              <w:rPr>
                <w:rFonts w:hint="eastAsia" w:ascii="宋体" w:hAnsi="宋体"/>
                <w:color w:val="000000"/>
                <w:sz w:val="24"/>
              </w:rPr>
            </w:pPr>
            <w:r>
              <w:rPr>
                <w:rFonts w:hint="eastAsia" w:ascii="宋体" w:hAnsi="宋体"/>
                <w:color w:val="000000"/>
                <w:sz w:val="24"/>
              </w:rPr>
              <w:t>根据报价人所提供的技术方案完整性、安全性及可靠性等，询比价小组进行横向对比排名，优秀得7-10分；良好得3-6.9分；一般得0-2.9分。</w:t>
            </w:r>
          </w:p>
        </w:tc>
      </w:tr>
      <w:tr w14:paraId="2E99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14:paraId="105BD002">
            <w:pPr>
              <w:spacing w:line="360" w:lineRule="auto"/>
              <w:rPr>
                <w:rFonts w:hint="eastAsia" w:ascii="宋体" w:hAnsi="宋体"/>
                <w:color w:val="000000"/>
                <w:sz w:val="24"/>
              </w:rPr>
            </w:pPr>
            <w:r>
              <w:rPr>
                <w:rFonts w:hint="eastAsia" w:ascii="宋体" w:hAnsi="宋体"/>
                <w:color w:val="000000"/>
                <w:sz w:val="24"/>
              </w:rPr>
              <w:t>2.4</w:t>
            </w:r>
          </w:p>
        </w:tc>
        <w:tc>
          <w:tcPr>
            <w:tcW w:w="7417" w:type="dxa"/>
            <w:gridSpan w:val="4"/>
          </w:tcPr>
          <w:p w14:paraId="2D4797D9">
            <w:pPr>
              <w:spacing w:line="360" w:lineRule="auto"/>
              <w:rPr>
                <w:rFonts w:hint="eastAsia" w:ascii="宋体" w:hAnsi="宋体"/>
                <w:color w:val="000000"/>
                <w:sz w:val="24"/>
              </w:rPr>
            </w:pPr>
            <w:r>
              <w:rPr>
                <w:rFonts w:hint="eastAsia" w:ascii="宋体" w:hAnsi="宋体"/>
                <w:color w:val="000000"/>
                <w:sz w:val="24"/>
              </w:rPr>
              <w:t>综合评分为：A+B</w:t>
            </w:r>
          </w:p>
        </w:tc>
      </w:tr>
    </w:tbl>
    <w:p w14:paraId="0651AE2E">
      <w:pPr>
        <w:spacing w:line="360" w:lineRule="auto"/>
        <w:jc w:val="left"/>
        <w:rPr>
          <w:rFonts w:hint="eastAsia" w:ascii="宋体" w:hAnsi="宋体"/>
          <w:snapToGrid w:val="0"/>
          <w:kern w:val="0"/>
          <w:sz w:val="24"/>
        </w:rPr>
      </w:pPr>
    </w:p>
    <w:p w14:paraId="12B806FC">
      <w:pPr>
        <w:spacing w:line="360" w:lineRule="auto"/>
        <w:jc w:val="right"/>
        <w:rPr>
          <w:rFonts w:hint="eastAsia" w:ascii="宋体" w:hAnsi="宋体"/>
          <w:color w:val="0000FF"/>
          <w:kern w:val="0"/>
          <w:sz w:val="24"/>
        </w:rPr>
      </w:pPr>
      <w:r>
        <w:rPr>
          <w:rFonts w:hint="eastAsia" w:ascii="宋体" w:hAnsi="宋体"/>
          <w:color w:val="0000FF"/>
          <w:kern w:val="0"/>
          <w:sz w:val="24"/>
        </w:rPr>
        <w:t xml:space="preserve">  </w:t>
      </w:r>
    </w:p>
    <w:p w14:paraId="38F0B402">
      <w:pPr>
        <w:spacing w:line="360" w:lineRule="auto"/>
        <w:jc w:val="right"/>
        <w:rPr>
          <w:rFonts w:hint="eastAsia" w:ascii="宋体" w:hAnsi="宋体" w:cs="宋体"/>
          <w:sz w:val="24"/>
        </w:rPr>
      </w:pPr>
      <w:r>
        <w:rPr>
          <w:rFonts w:hint="eastAsia" w:ascii="宋体" w:hAnsi="宋体" w:cs="宋体"/>
          <w:sz w:val="24"/>
        </w:rPr>
        <w:t>重庆国际复合材料股份有限公司</w:t>
      </w:r>
    </w:p>
    <w:p w14:paraId="05368EFE">
      <w:pPr>
        <w:spacing w:line="360" w:lineRule="auto"/>
        <w:jc w:val="right"/>
        <w:rPr>
          <w:rFonts w:hint="eastAsia" w:ascii="宋体" w:hAnsi="宋体"/>
          <w:sz w:val="24"/>
        </w:rPr>
        <w:sectPr>
          <w:pgSz w:w="11906" w:h="16838"/>
          <w:pgMar w:top="1440" w:right="1800" w:bottom="1440" w:left="1800" w:header="851" w:footer="992" w:gutter="0"/>
          <w:cols w:space="720" w:num="1"/>
          <w:docGrid w:type="lines" w:linePitch="312" w:charSpace="0"/>
        </w:sectPr>
      </w:pPr>
      <w:r>
        <w:rPr>
          <w:rFonts w:hint="eastAsia" w:ascii="宋体" w:hAnsi="宋体" w:cs="宋体"/>
          <w:sz w:val="24"/>
        </w:rPr>
        <w:t>2025年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14</w:t>
      </w:r>
      <w:bookmarkStart w:id="5" w:name="_GoBack"/>
      <w:bookmarkEnd w:id="5"/>
      <w:r>
        <w:rPr>
          <w:rFonts w:hint="eastAsia" w:ascii="宋体" w:hAnsi="宋体" w:cs="宋体"/>
          <w:sz w:val="24"/>
        </w:rPr>
        <w:t>日</w:t>
      </w:r>
    </w:p>
    <w:p w14:paraId="191846B8">
      <w:pPr>
        <w:spacing w:before="180" w:beforeLines="75" w:after="240" w:afterLines="100"/>
        <w:jc w:val="center"/>
        <w:rPr>
          <w:rFonts w:hint="eastAsia" w:ascii="宋体" w:hAnsi="宋体" w:cs="Arial"/>
          <w:b/>
          <w:color w:val="000000"/>
          <w:sz w:val="44"/>
          <w:szCs w:val="44"/>
        </w:rPr>
      </w:pPr>
      <w:r>
        <w:rPr>
          <w:rFonts w:hint="eastAsia" w:ascii="宋体" w:hAnsi="宋体" w:cs="Arial"/>
          <w:b/>
          <w:color w:val="000000"/>
          <w:sz w:val="44"/>
          <w:szCs w:val="44"/>
        </w:rPr>
        <w:t>法定代表人授权书</w:t>
      </w:r>
    </w:p>
    <w:p w14:paraId="535DCD45">
      <w:pPr>
        <w:spacing w:line="480" w:lineRule="auto"/>
        <w:ind w:firstLine="480" w:firstLineChars="200"/>
        <w:jc w:val="left"/>
        <w:rPr>
          <w:rFonts w:hint="eastAsia"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的合法代理人，就</w:t>
      </w:r>
      <w:r>
        <w:rPr>
          <w:rFonts w:hint="eastAsia" w:ascii="宋体" w:hAnsi="宋体"/>
          <w:color w:val="000000"/>
          <w:kern w:val="0"/>
          <w:sz w:val="24"/>
        </w:rPr>
        <w:t>重庆国际复合材料股份有限公司</w:t>
      </w:r>
      <w:r>
        <w:rPr>
          <w:rFonts w:hint="eastAsia" w:ascii="宋体" w:hAnsi="宋体"/>
          <w:color w:val="000000"/>
          <w:kern w:val="0"/>
          <w:sz w:val="24"/>
          <w:u w:val="single"/>
        </w:rPr>
        <w:t xml:space="preserve">                   </w:t>
      </w:r>
      <w:r>
        <w:rPr>
          <w:rFonts w:hint="eastAsia" w:ascii="宋体" w:hAnsi="宋体" w:cs="Arial"/>
          <w:color w:val="000000"/>
          <w:sz w:val="24"/>
        </w:rPr>
        <w:t>项目的</w:t>
      </w:r>
      <w:r>
        <w:rPr>
          <w:rFonts w:hint="eastAsia" w:ascii="宋体" w:hAnsi="宋体"/>
          <w:color w:val="000000"/>
          <w:sz w:val="24"/>
        </w:rPr>
        <w:t>询比价，以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5098B465">
      <w:pPr>
        <w:spacing w:line="480" w:lineRule="auto"/>
        <w:ind w:firstLine="480" w:firstLineChars="200"/>
        <w:rPr>
          <w:rFonts w:hint="eastAsia"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0D4D68DA">
      <w:pPr>
        <w:spacing w:line="480" w:lineRule="auto"/>
        <w:rPr>
          <w:rFonts w:hint="eastAsia" w:ascii="宋体" w:hAnsi="宋体"/>
          <w:color w:val="000000"/>
          <w:sz w:val="24"/>
        </w:rPr>
      </w:pPr>
    </w:p>
    <w:p w14:paraId="6DBC24B8">
      <w:pPr>
        <w:spacing w:line="480" w:lineRule="auto"/>
        <w:rPr>
          <w:rFonts w:hint="eastAsia"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65D9A984">
      <w:pPr>
        <w:spacing w:line="480" w:lineRule="auto"/>
        <w:rPr>
          <w:rFonts w:hint="eastAsia"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6A4924C3">
      <w:pPr>
        <w:rPr>
          <w:rFonts w:hint="eastAsia" w:ascii="宋体" w:hAnsi="宋体"/>
          <w:color w:val="000000"/>
        </w:rPr>
      </w:pPr>
    </w:p>
    <w:p w14:paraId="131437B1">
      <w:pPr>
        <w:spacing w:line="360" w:lineRule="auto"/>
        <w:rPr>
          <w:rFonts w:hint="eastAsia"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（盖公章）</w:t>
      </w:r>
    </w:p>
    <w:p w14:paraId="09A93588">
      <w:pPr>
        <w:spacing w:line="360" w:lineRule="auto"/>
        <w:rPr>
          <w:rFonts w:hint="eastAsia" w:ascii="宋体" w:hAnsi="宋体"/>
          <w:color w:val="000000"/>
          <w:sz w:val="24"/>
        </w:rPr>
      </w:pPr>
    </w:p>
    <w:p w14:paraId="3B7746AC">
      <w:pPr>
        <w:spacing w:line="360" w:lineRule="auto"/>
        <w:rPr>
          <w:rFonts w:hint="eastAsia" w:ascii="宋体" w:hAnsi="宋体"/>
          <w:szCs w:val="21"/>
        </w:r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69DF0B06">
      <w:pPr>
        <w:spacing w:line="360" w:lineRule="auto"/>
        <w:rPr>
          <w:rFonts w:hint="eastAsia" w:ascii="宋体" w:hAnsi="宋体"/>
          <w:sz w:val="24"/>
        </w:rPr>
      </w:pPr>
    </w:p>
    <w:sectPr>
      <w:headerReference r:id="rId3" w:type="default"/>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9626">
    <w:pPr>
      <w:pStyle w:val="7"/>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1DD9423B"/>
    <w:multiLevelType w:val="singleLevel"/>
    <w:tmpl w:val="1DD9423B"/>
    <w:lvl w:ilvl="0" w:tentative="0">
      <w:start w:val="1"/>
      <w:numFmt w:val="decimal"/>
      <w:suff w:val="nothing"/>
      <w:lvlText w:val="（%1）"/>
      <w:lvlJc w:val="left"/>
    </w:lvl>
  </w:abstractNum>
  <w:abstractNum w:abstractNumId="3">
    <w:nsid w:val="2CAC5F95"/>
    <w:multiLevelType w:val="singleLevel"/>
    <w:tmpl w:val="2CAC5F95"/>
    <w:lvl w:ilvl="0" w:tentative="0">
      <w:start w:val="4"/>
      <w:numFmt w:val="chineseCounting"/>
      <w:suff w:val="nothing"/>
      <w:lvlText w:val="%1、"/>
      <w:lvlJc w:val="left"/>
      <w:rPr>
        <w:rFonts w:hint="eastAsia"/>
        <w:lang w:val="en-US"/>
      </w:rPr>
    </w:lvl>
  </w:abstractNum>
  <w:abstractNum w:abstractNumId="4">
    <w:nsid w:val="2F5D3C08"/>
    <w:multiLevelType w:val="singleLevel"/>
    <w:tmpl w:val="2F5D3C08"/>
    <w:lvl w:ilvl="0" w:tentative="0">
      <w:start w:val="1"/>
      <w:numFmt w:val="decimal"/>
      <w:suff w:val="nothing"/>
      <w:lvlText w:val="（%1）"/>
      <w:lvlJc w:val="left"/>
    </w:lvl>
  </w:abstractNum>
  <w:abstractNum w:abstractNumId="5">
    <w:nsid w:val="43816AEE"/>
    <w:multiLevelType w:val="singleLevel"/>
    <w:tmpl w:val="43816AEE"/>
    <w:lvl w:ilvl="0" w:tentative="0">
      <w:start w:val="1"/>
      <w:numFmt w:val="decimal"/>
      <w:suff w:val="nothing"/>
      <w:lvlText w:val="（%1）"/>
      <w:lvlJc w:val="left"/>
    </w:lvl>
  </w:abstractNum>
  <w:abstractNum w:abstractNumId="6">
    <w:nsid w:val="45C97993"/>
    <w:multiLevelType w:val="multilevel"/>
    <w:tmpl w:val="45C9799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5A925956"/>
    <w:multiLevelType w:val="multilevel"/>
    <w:tmpl w:val="5A925956"/>
    <w:lvl w:ilvl="0" w:tentative="0">
      <w:start w:val="1"/>
      <w:numFmt w:val="decimal"/>
      <w:lvlText w:val="（%1）"/>
      <w:lvlJc w:val="left"/>
      <w:pPr>
        <w:ind w:left="724" w:hanging="440"/>
      </w:pPr>
    </w:lvl>
    <w:lvl w:ilvl="1" w:tentative="0">
      <w:start w:val="1"/>
      <w:numFmt w:val="lowerLetter"/>
      <w:lvlText w:val="%2)"/>
      <w:lvlJc w:val="left"/>
      <w:pPr>
        <w:ind w:left="1164" w:hanging="440"/>
      </w:pPr>
    </w:lvl>
    <w:lvl w:ilvl="2" w:tentative="0">
      <w:start w:val="1"/>
      <w:numFmt w:val="lowerRoman"/>
      <w:lvlText w:val="%3."/>
      <w:lvlJc w:val="right"/>
      <w:pPr>
        <w:ind w:left="1604" w:hanging="440"/>
      </w:pPr>
    </w:lvl>
    <w:lvl w:ilvl="3" w:tentative="0">
      <w:start w:val="1"/>
      <w:numFmt w:val="decimal"/>
      <w:lvlText w:val="%4."/>
      <w:lvlJc w:val="left"/>
      <w:pPr>
        <w:ind w:left="2044" w:hanging="440"/>
      </w:pPr>
    </w:lvl>
    <w:lvl w:ilvl="4" w:tentative="0">
      <w:start w:val="1"/>
      <w:numFmt w:val="lowerLetter"/>
      <w:lvlText w:val="%5)"/>
      <w:lvlJc w:val="left"/>
      <w:pPr>
        <w:ind w:left="2484" w:hanging="440"/>
      </w:pPr>
    </w:lvl>
    <w:lvl w:ilvl="5" w:tentative="0">
      <w:start w:val="1"/>
      <w:numFmt w:val="lowerRoman"/>
      <w:lvlText w:val="%6."/>
      <w:lvlJc w:val="right"/>
      <w:pPr>
        <w:ind w:left="2924" w:hanging="440"/>
      </w:pPr>
    </w:lvl>
    <w:lvl w:ilvl="6" w:tentative="0">
      <w:start w:val="1"/>
      <w:numFmt w:val="decimal"/>
      <w:lvlText w:val="%7."/>
      <w:lvlJc w:val="left"/>
      <w:pPr>
        <w:ind w:left="3364" w:hanging="440"/>
      </w:pPr>
    </w:lvl>
    <w:lvl w:ilvl="7" w:tentative="0">
      <w:start w:val="1"/>
      <w:numFmt w:val="lowerLetter"/>
      <w:lvlText w:val="%8)"/>
      <w:lvlJc w:val="left"/>
      <w:pPr>
        <w:ind w:left="3804" w:hanging="440"/>
      </w:pPr>
    </w:lvl>
    <w:lvl w:ilvl="8" w:tentative="0">
      <w:start w:val="1"/>
      <w:numFmt w:val="lowerRoman"/>
      <w:lvlText w:val="%9."/>
      <w:lvlJc w:val="right"/>
      <w:pPr>
        <w:ind w:left="4244" w:hanging="440"/>
      </w:pPr>
    </w:lvl>
  </w:abstractNum>
  <w:abstractNum w:abstractNumId="8">
    <w:nsid w:val="62A2B154"/>
    <w:multiLevelType w:val="singleLevel"/>
    <w:tmpl w:val="62A2B154"/>
    <w:lvl w:ilvl="0" w:tentative="0">
      <w:start w:val="1"/>
      <w:numFmt w:val="decimal"/>
      <w:suff w:val="nothing"/>
      <w:lvlText w:val="（%1）"/>
      <w:lvlJc w:val="left"/>
    </w:lvl>
  </w:abstractNum>
  <w:abstractNum w:abstractNumId="9">
    <w:nsid w:val="78A17D2A"/>
    <w:multiLevelType w:val="singleLevel"/>
    <w:tmpl w:val="78A17D2A"/>
    <w:lvl w:ilvl="0" w:tentative="0">
      <w:start w:val="1"/>
      <w:numFmt w:val="chineseCounting"/>
      <w:suff w:val="nothing"/>
      <w:lvlText w:val="%1、"/>
      <w:lvlJc w:val="left"/>
      <w:rPr>
        <w:rFonts w:hint="eastAsia"/>
      </w:rPr>
    </w:lvl>
  </w:abstractNum>
  <w:num w:numId="1">
    <w:abstractNumId w:val="9"/>
  </w:num>
  <w:num w:numId="2">
    <w:abstractNumId w:val="6"/>
  </w:num>
  <w:num w:numId="3">
    <w:abstractNumId w:val="7"/>
  </w:num>
  <w:num w:numId="4">
    <w:abstractNumId w:val="3"/>
  </w:num>
  <w:num w:numId="5">
    <w:abstractNumId w:val="8"/>
  </w:num>
  <w:num w:numId="6">
    <w:abstractNumId w:val="2"/>
  </w:num>
  <w:num w:numId="7">
    <w:abstractNumId w:val="5"/>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82"/>
    <w:rsid w:val="00003E1C"/>
    <w:rsid w:val="000115BF"/>
    <w:rsid w:val="00014CB0"/>
    <w:rsid w:val="00053AED"/>
    <w:rsid w:val="0007617C"/>
    <w:rsid w:val="00082D37"/>
    <w:rsid w:val="000834A1"/>
    <w:rsid w:val="0009528E"/>
    <w:rsid w:val="00096F79"/>
    <w:rsid w:val="000B056F"/>
    <w:rsid w:val="000B50ED"/>
    <w:rsid w:val="000C1E8C"/>
    <w:rsid w:val="000D6715"/>
    <w:rsid w:val="000E6744"/>
    <w:rsid w:val="000F349E"/>
    <w:rsid w:val="0010113B"/>
    <w:rsid w:val="001055E4"/>
    <w:rsid w:val="00121DC3"/>
    <w:rsid w:val="0012223B"/>
    <w:rsid w:val="00125FA0"/>
    <w:rsid w:val="001313D8"/>
    <w:rsid w:val="0014656A"/>
    <w:rsid w:val="001633C2"/>
    <w:rsid w:val="001A56B2"/>
    <w:rsid w:val="001D48D5"/>
    <w:rsid w:val="001D72F5"/>
    <w:rsid w:val="001E73D5"/>
    <w:rsid w:val="00204A46"/>
    <w:rsid w:val="00220A0C"/>
    <w:rsid w:val="002439A6"/>
    <w:rsid w:val="00252CA9"/>
    <w:rsid w:val="002A366E"/>
    <w:rsid w:val="002B1F91"/>
    <w:rsid w:val="002C3176"/>
    <w:rsid w:val="002D62DF"/>
    <w:rsid w:val="002E612B"/>
    <w:rsid w:val="002F077C"/>
    <w:rsid w:val="003075B3"/>
    <w:rsid w:val="003136E2"/>
    <w:rsid w:val="00314A76"/>
    <w:rsid w:val="003163CF"/>
    <w:rsid w:val="003378AD"/>
    <w:rsid w:val="003536FA"/>
    <w:rsid w:val="00375A1A"/>
    <w:rsid w:val="00387164"/>
    <w:rsid w:val="00395A6F"/>
    <w:rsid w:val="00396B0D"/>
    <w:rsid w:val="003B2D4C"/>
    <w:rsid w:val="003B53D0"/>
    <w:rsid w:val="003B5C92"/>
    <w:rsid w:val="003E6377"/>
    <w:rsid w:val="003F2E8A"/>
    <w:rsid w:val="00410882"/>
    <w:rsid w:val="00415360"/>
    <w:rsid w:val="004403A1"/>
    <w:rsid w:val="004562BE"/>
    <w:rsid w:val="00461A10"/>
    <w:rsid w:val="004764D0"/>
    <w:rsid w:val="004873D3"/>
    <w:rsid w:val="00497F7D"/>
    <w:rsid w:val="004A4272"/>
    <w:rsid w:val="004B5BBE"/>
    <w:rsid w:val="004D0BD1"/>
    <w:rsid w:val="004D23A9"/>
    <w:rsid w:val="004D26FB"/>
    <w:rsid w:val="00514615"/>
    <w:rsid w:val="00523386"/>
    <w:rsid w:val="005357D9"/>
    <w:rsid w:val="00542ADD"/>
    <w:rsid w:val="00556262"/>
    <w:rsid w:val="005644E4"/>
    <w:rsid w:val="00584163"/>
    <w:rsid w:val="00585F2E"/>
    <w:rsid w:val="00597BEB"/>
    <w:rsid w:val="005A05D8"/>
    <w:rsid w:val="005B49E5"/>
    <w:rsid w:val="005D3573"/>
    <w:rsid w:val="005F5030"/>
    <w:rsid w:val="006130E4"/>
    <w:rsid w:val="0061465B"/>
    <w:rsid w:val="00620C21"/>
    <w:rsid w:val="0062387B"/>
    <w:rsid w:val="00626A0B"/>
    <w:rsid w:val="0063764C"/>
    <w:rsid w:val="00640DAC"/>
    <w:rsid w:val="00640F6F"/>
    <w:rsid w:val="006652D9"/>
    <w:rsid w:val="00672F6B"/>
    <w:rsid w:val="00694F93"/>
    <w:rsid w:val="006F09A6"/>
    <w:rsid w:val="006F276B"/>
    <w:rsid w:val="006F3B56"/>
    <w:rsid w:val="00711CE8"/>
    <w:rsid w:val="00720441"/>
    <w:rsid w:val="00721D0B"/>
    <w:rsid w:val="0072641C"/>
    <w:rsid w:val="00734846"/>
    <w:rsid w:val="00741EE8"/>
    <w:rsid w:val="00771361"/>
    <w:rsid w:val="00776615"/>
    <w:rsid w:val="007772B7"/>
    <w:rsid w:val="00796165"/>
    <w:rsid w:val="007A23F5"/>
    <w:rsid w:val="007B3CF6"/>
    <w:rsid w:val="007B5ED1"/>
    <w:rsid w:val="007D5E75"/>
    <w:rsid w:val="007E1692"/>
    <w:rsid w:val="007E41EB"/>
    <w:rsid w:val="007F3499"/>
    <w:rsid w:val="00803F4B"/>
    <w:rsid w:val="00826DA3"/>
    <w:rsid w:val="00830928"/>
    <w:rsid w:val="00832120"/>
    <w:rsid w:val="00841419"/>
    <w:rsid w:val="008444F9"/>
    <w:rsid w:val="00847655"/>
    <w:rsid w:val="00853495"/>
    <w:rsid w:val="0086621B"/>
    <w:rsid w:val="00885107"/>
    <w:rsid w:val="008857F6"/>
    <w:rsid w:val="00885C77"/>
    <w:rsid w:val="00887F9F"/>
    <w:rsid w:val="008B64BE"/>
    <w:rsid w:val="008E0270"/>
    <w:rsid w:val="008F2214"/>
    <w:rsid w:val="008F5E74"/>
    <w:rsid w:val="008F7024"/>
    <w:rsid w:val="009150D0"/>
    <w:rsid w:val="00935C24"/>
    <w:rsid w:val="00952319"/>
    <w:rsid w:val="009C0AE5"/>
    <w:rsid w:val="009D6C89"/>
    <w:rsid w:val="00A07963"/>
    <w:rsid w:val="00A12F64"/>
    <w:rsid w:val="00A15ABA"/>
    <w:rsid w:val="00A425AF"/>
    <w:rsid w:val="00A4552E"/>
    <w:rsid w:val="00A53673"/>
    <w:rsid w:val="00A53AC1"/>
    <w:rsid w:val="00A92103"/>
    <w:rsid w:val="00AA07CD"/>
    <w:rsid w:val="00AB5718"/>
    <w:rsid w:val="00AB7CD9"/>
    <w:rsid w:val="00AD2B6E"/>
    <w:rsid w:val="00AD350D"/>
    <w:rsid w:val="00B2636B"/>
    <w:rsid w:val="00B47430"/>
    <w:rsid w:val="00B50CEA"/>
    <w:rsid w:val="00B5404A"/>
    <w:rsid w:val="00B74C30"/>
    <w:rsid w:val="00B820CE"/>
    <w:rsid w:val="00B87566"/>
    <w:rsid w:val="00B900D5"/>
    <w:rsid w:val="00BA0776"/>
    <w:rsid w:val="00BA4447"/>
    <w:rsid w:val="00BC246A"/>
    <w:rsid w:val="00BE6F57"/>
    <w:rsid w:val="00BF241A"/>
    <w:rsid w:val="00C1153A"/>
    <w:rsid w:val="00C11EC5"/>
    <w:rsid w:val="00C24A5D"/>
    <w:rsid w:val="00C33841"/>
    <w:rsid w:val="00C47E5A"/>
    <w:rsid w:val="00C546E8"/>
    <w:rsid w:val="00C57E16"/>
    <w:rsid w:val="00C73E79"/>
    <w:rsid w:val="00C74410"/>
    <w:rsid w:val="00C760B0"/>
    <w:rsid w:val="00CB3C78"/>
    <w:rsid w:val="00CB6C9E"/>
    <w:rsid w:val="00CD4465"/>
    <w:rsid w:val="00CE1276"/>
    <w:rsid w:val="00CE737D"/>
    <w:rsid w:val="00CF221B"/>
    <w:rsid w:val="00D202B9"/>
    <w:rsid w:val="00D2498B"/>
    <w:rsid w:val="00D26023"/>
    <w:rsid w:val="00D3132A"/>
    <w:rsid w:val="00D50FA7"/>
    <w:rsid w:val="00D55E75"/>
    <w:rsid w:val="00D66801"/>
    <w:rsid w:val="00D954F8"/>
    <w:rsid w:val="00D96ED7"/>
    <w:rsid w:val="00DA129F"/>
    <w:rsid w:val="00DB1876"/>
    <w:rsid w:val="00DB633E"/>
    <w:rsid w:val="00DC7368"/>
    <w:rsid w:val="00DF6AED"/>
    <w:rsid w:val="00E03FD3"/>
    <w:rsid w:val="00E07BE8"/>
    <w:rsid w:val="00E2216C"/>
    <w:rsid w:val="00E30F7D"/>
    <w:rsid w:val="00E55874"/>
    <w:rsid w:val="00E65254"/>
    <w:rsid w:val="00E87305"/>
    <w:rsid w:val="00E90E1D"/>
    <w:rsid w:val="00E96392"/>
    <w:rsid w:val="00EC0658"/>
    <w:rsid w:val="00ED5F6F"/>
    <w:rsid w:val="00EE4F7D"/>
    <w:rsid w:val="00F0648A"/>
    <w:rsid w:val="00F251A4"/>
    <w:rsid w:val="00F6533F"/>
    <w:rsid w:val="00F82986"/>
    <w:rsid w:val="00F90F83"/>
    <w:rsid w:val="00FE376F"/>
    <w:rsid w:val="00FE6E93"/>
    <w:rsid w:val="01407DFE"/>
    <w:rsid w:val="01CA3F1A"/>
    <w:rsid w:val="031663E9"/>
    <w:rsid w:val="03D401FE"/>
    <w:rsid w:val="041A45D7"/>
    <w:rsid w:val="04CA2DA2"/>
    <w:rsid w:val="06C675E3"/>
    <w:rsid w:val="075E46C1"/>
    <w:rsid w:val="0B1B7564"/>
    <w:rsid w:val="0CF74C6E"/>
    <w:rsid w:val="0DF52C6F"/>
    <w:rsid w:val="0E3C1B66"/>
    <w:rsid w:val="0E664FCA"/>
    <w:rsid w:val="0EBA407A"/>
    <w:rsid w:val="0FBB574F"/>
    <w:rsid w:val="0FBD7984"/>
    <w:rsid w:val="1031378F"/>
    <w:rsid w:val="10DF0323"/>
    <w:rsid w:val="11420714"/>
    <w:rsid w:val="1208017F"/>
    <w:rsid w:val="12BB58E4"/>
    <w:rsid w:val="12BF484E"/>
    <w:rsid w:val="12DE784D"/>
    <w:rsid w:val="180513B0"/>
    <w:rsid w:val="1883444F"/>
    <w:rsid w:val="18A0021C"/>
    <w:rsid w:val="18E90CD1"/>
    <w:rsid w:val="19A75820"/>
    <w:rsid w:val="1ACB068F"/>
    <w:rsid w:val="1BC82E20"/>
    <w:rsid w:val="1CB168E1"/>
    <w:rsid w:val="1D995533"/>
    <w:rsid w:val="1E490A99"/>
    <w:rsid w:val="1ECE257B"/>
    <w:rsid w:val="1ED33FB6"/>
    <w:rsid w:val="1F8E612F"/>
    <w:rsid w:val="1FE70832"/>
    <w:rsid w:val="20BA466B"/>
    <w:rsid w:val="215D1371"/>
    <w:rsid w:val="2164183D"/>
    <w:rsid w:val="216655B5"/>
    <w:rsid w:val="219C02A4"/>
    <w:rsid w:val="236D1A5F"/>
    <w:rsid w:val="245C4CD3"/>
    <w:rsid w:val="254E1297"/>
    <w:rsid w:val="25BE7053"/>
    <w:rsid w:val="261E1A36"/>
    <w:rsid w:val="274370A4"/>
    <w:rsid w:val="2B2D6198"/>
    <w:rsid w:val="2EED69CE"/>
    <w:rsid w:val="2EF83608"/>
    <w:rsid w:val="2F8C615C"/>
    <w:rsid w:val="2FA33530"/>
    <w:rsid w:val="31B1462B"/>
    <w:rsid w:val="322724D4"/>
    <w:rsid w:val="33165873"/>
    <w:rsid w:val="33A87367"/>
    <w:rsid w:val="33CA5530"/>
    <w:rsid w:val="340C1E14"/>
    <w:rsid w:val="34D941C9"/>
    <w:rsid w:val="358E07DF"/>
    <w:rsid w:val="359978AF"/>
    <w:rsid w:val="35D408E8"/>
    <w:rsid w:val="38B467AE"/>
    <w:rsid w:val="3C3C2D43"/>
    <w:rsid w:val="3C507AAD"/>
    <w:rsid w:val="3CA1704A"/>
    <w:rsid w:val="3CE024D8"/>
    <w:rsid w:val="3D31435C"/>
    <w:rsid w:val="3D3B2FFA"/>
    <w:rsid w:val="3DD079F6"/>
    <w:rsid w:val="3FFF71F2"/>
    <w:rsid w:val="40195815"/>
    <w:rsid w:val="41171FD0"/>
    <w:rsid w:val="43243258"/>
    <w:rsid w:val="43EE7018"/>
    <w:rsid w:val="44200866"/>
    <w:rsid w:val="44A447D8"/>
    <w:rsid w:val="46433B69"/>
    <w:rsid w:val="46F91CF8"/>
    <w:rsid w:val="478A52AA"/>
    <w:rsid w:val="49935F6C"/>
    <w:rsid w:val="4AE65862"/>
    <w:rsid w:val="4CC4300C"/>
    <w:rsid w:val="4D2910C1"/>
    <w:rsid w:val="4D7A36CB"/>
    <w:rsid w:val="4DBB652F"/>
    <w:rsid w:val="4E221B99"/>
    <w:rsid w:val="511432A7"/>
    <w:rsid w:val="515661FD"/>
    <w:rsid w:val="53266CED"/>
    <w:rsid w:val="53EF504B"/>
    <w:rsid w:val="53F95F9A"/>
    <w:rsid w:val="542477F4"/>
    <w:rsid w:val="56BE671B"/>
    <w:rsid w:val="56C377C5"/>
    <w:rsid w:val="56FA6C77"/>
    <w:rsid w:val="57D50C32"/>
    <w:rsid w:val="588875E4"/>
    <w:rsid w:val="588C0AC2"/>
    <w:rsid w:val="59BC5C49"/>
    <w:rsid w:val="5A8738CB"/>
    <w:rsid w:val="5A8F6383"/>
    <w:rsid w:val="5EA36BFC"/>
    <w:rsid w:val="618119F8"/>
    <w:rsid w:val="627B0B92"/>
    <w:rsid w:val="642C24F3"/>
    <w:rsid w:val="64D66DF5"/>
    <w:rsid w:val="654B7174"/>
    <w:rsid w:val="661E78ED"/>
    <w:rsid w:val="67182A90"/>
    <w:rsid w:val="67840CA7"/>
    <w:rsid w:val="699D0A15"/>
    <w:rsid w:val="69DF2DDC"/>
    <w:rsid w:val="6A9455F7"/>
    <w:rsid w:val="6C3D64DF"/>
    <w:rsid w:val="6D6455ED"/>
    <w:rsid w:val="6D6655C2"/>
    <w:rsid w:val="6DBA07BF"/>
    <w:rsid w:val="6DC42A14"/>
    <w:rsid w:val="6EAB14DE"/>
    <w:rsid w:val="70512559"/>
    <w:rsid w:val="732B09DE"/>
    <w:rsid w:val="74015CD1"/>
    <w:rsid w:val="74F00593"/>
    <w:rsid w:val="74FB4333"/>
    <w:rsid w:val="75CE7892"/>
    <w:rsid w:val="7732131B"/>
    <w:rsid w:val="77B61176"/>
    <w:rsid w:val="781E1E4E"/>
    <w:rsid w:val="782E6C42"/>
    <w:rsid w:val="7B6D1D92"/>
    <w:rsid w:val="7BC260B9"/>
    <w:rsid w:val="7BD133DE"/>
    <w:rsid w:val="7C362E56"/>
    <w:rsid w:val="7C8D5568"/>
    <w:rsid w:val="7E256E37"/>
    <w:rsid w:val="7FAC456D"/>
    <w:rsid w:val="7FAD6DF7"/>
    <w:rsid w:val="7FB75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autoSpaceDE w:val="0"/>
      <w:autoSpaceDN w:val="0"/>
      <w:adjustRightInd w:val="0"/>
      <w:spacing w:line="360" w:lineRule="auto"/>
      <w:jc w:val="left"/>
      <w:outlineLvl w:val="2"/>
    </w:pPr>
    <w:rPr>
      <w:rFonts w:ascii="仿宋_GB2312" w:hAnsi="仿宋_GB2312"/>
      <w:b/>
      <w:kern w:val="0"/>
      <w:szCs w:val="28"/>
    </w:rPr>
  </w:style>
  <w:style w:type="paragraph" w:styleId="3">
    <w:name w:val="heading 4"/>
    <w:basedOn w:val="1"/>
    <w:next w:val="1"/>
    <w:link w:val="1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iPriority w:val="99"/>
    <w:pPr>
      <w:adjustRightInd w:val="0"/>
      <w:spacing w:line="360" w:lineRule="atLeast"/>
      <w:jc w:val="left"/>
      <w:textAlignment w:val="baseline"/>
    </w:pPr>
    <w:rPr>
      <w:kern w:val="0"/>
      <w:sz w:val="24"/>
      <w:szCs w:val="20"/>
    </w:rPr>
  </w:style>
  <w:style w:type="paragraph" w:styleId="5">
    <w:name w:val="Date"/>
    <w:basedOn w:val="1"/>
    <w:next w:val="1"/>
    <w:link w:val="17"/>
    <w:qFormat/>
    <w:uiPriority w:val="0"/>
    <w:pPr>
      <w:ind w:left="100" w:leftChars="2500"/>
    </w:p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39"/>
    <w:pPr>
      <w:ind w:left="420" w:leftChars="200"/>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color w:val="000000"/>
      <w:u w:val="none"/>
    </w:rPr>
  </w:style>
  <w:style w:type="character" w:styleId="14">
    <w:name w:val="annotation reference"/>
    <w:basedOn w:val="12"/>
    <w:qFormat/>
    <w:uiPriority w:val="0"/>
    <w:rPr>
      <w:sz w:val="21"/>
      <w:szCs w:val="21"/>
    </w:rPr>
  </w:style>
  <w:style w:type="character" w:customStyle="1" w:styleId="15">
    <w:name w:val="页脚 字符"/>
    <w:link w:val="6"/>
    <w:qFormat/>
    <w:uiPriority w:val="0"/>
    <w:rPr>
      <w:kern w:val="2"/>
      <w:sz w:val="18"/>
      <w:szCs w:val="18"/>
    </w:rPr>
  </w:style>
  <w:style w:type="character" w:customStyle="1" w:styleId="16">
    <w:name w:val="页眉 字符"/>
    <w:link w:val="7"/>
    <w:qFormat/>
    <w:uiPriority w:val="0"/>
    <w:rPr>
      <w:kern w:val="2"/>
      <w:sz w:val="18"/>
      <w:szCs w:val="18"/>
    </w:rPr>
  </w:style>
  <w:style w:type="character" w:customStyle="1" w:styleId="17">
    <w:name w:val="日期 字符"/>
    <w:basedOn w:val="12"/>
    <w:link w:val="5"/>
    <w:qFormat/>
    <w:uiPriority w:val="0"/>
    <w:rPr>
      <w:kern w:val="2"/>
      <w:sz w:val="21"/>
      <w:szCs w:val="24"/>
    </w:rPr>
  </w:style>
  <w:style w:type="paragraph" w:styleId="18">
    <w:name w:val="List Paragraph"/>
    <w:basedOn w:val="1"/>
    <w:qFormat/>
    <w:uiPriority w:val="99"/>
    <w:pPr>
      <w:ind w:firstLine="420" w:firstLineChars="200"/>
    </w:pPr>
  </w:style>
  <w:style w:type="character" w:customStyle="1" w:styleId="19">
    <w:name w:val="标题 4 字符"/>
    <w:basedOn w:val="12"/>
    <w:link w:val="3"/>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4252</Words>
  <Characters>4554</Characters>
  <Lines>36</Lines>
  <Paragraphs>10</Paragraphs>
  <TotalTime>381</TotalTime>
  <ScaleCrop>false</ScaleCrop>
  <LinksUpToDate>false</LinksUpToDate>
  <CharactersWithSpaces>4998</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2025-04-29T23:21:00Z</dcterms:created>
  <dc:creator>leeqiang</dc:creator>
  <cp:lastModifiedBy>envy.</cp:lastModifiedBy>
  <cp:lastPrinted>2025-05-15T07:57:00Z</cp:lastPrinted>
  <dcterms:modified xsi:type="dcterms:W3CDTF">2025-08-14T06:52:11Z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2272CC6A94A74F5EAFF2133E103E1DE9_13</vt:lpwstr>
  </property>
  <property fmtid="{D5CDD505-2E9C-101B-9397-08002B2CF9AE}" pid="4" name="KSOTemplateDocerSaveRecord">
    <vt:lpwstr>eyJoZGlkIjoiZjQwYmJkNjlkNzg2YzhjYmIxMWMzM2JhODQ5ZGY5YTMiLCJ1c2VySWQiOiI0NTQ4MDg0MDgifQ==</vt:lpwstr>
  </property>
</Properties>
</file>